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1B" w:rsidRPr="005B7A90" w:rsidRDefault="0001681B" w:rsidP="0001681B">
      <w:pPr>
        <w:jc w:val="center"/>
        <w:rPr>
          <w:rFonts w:ascii="Tahoma" w:hAnsi="Tahoma" w:cs="Tahoma"/>
          <w:b/>
          <w:bCs/>
          <w:sz w:val="32"/>
        </w:rPr>
      </w:pPr>
      <w:r w:rsidRPr="005B7A90">
        <w:rPr>
          <w:rFonts w:ascii="Tahoma" w:hAnsi="Tahoma" w:cs="Tahoma"/>
          <w:b/>
          <w:bCs/>
          <w:sz w:val="32"/>
        </w:rPr>
        <w:t xml:space="preserve">CIRCULAR Núm. </w:t>
      </w:r>
      <w:r>
        <w:rPr>
          <w:rFonts w:ascii="Tahoma" w:hAnsi="Tahoma" w:cs="Tahoma"/>
          <w:b/>
          <w:bCs/>
          <w:sz w:val="32"/>
        </w:rPr>
        <w:t>29</w:t>
      </w:r>
      <w:r w:rsidRPr="005B7A90">
        <w:rPr>
          <w:rFonts w:ascii="Tahoma" w:hAnsi="Tahoma" w:cs="Tahoma"/>
          <w:b/>
          <w:bCs/>
          <w:sz w:val="32"/>
        </w:rPr>
        <w:t>/CJCAM/SEJEC/</w:t>
      </w:r>
      <w:r>
        <w:rPr>
          <w:rFonts w:ascii="Tahoma" w:hAnsi="Tahoma" w:cs="Tahoma"/>
          <w:b/>
          <w:bCs/>
          <w:sz w:val="32"/>
        </w:rPr>
        <w:t>20-2021</w:t>
      </w:r>
    </w:p>
    <w:p w:rsidR="0001681B" w:rsidRPr="005B7A90" w:rsidRDefault="0001681B" w:rsidP="0001681B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:rsidR="0001681B" w:rsidRPr="005B7A90" w:rsidRDefault="0001681B" w:rsidP="0001681B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5B7A90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5B7A90">
        <w:rPr>
          <w:rFonts w:ascii="Arial" w:hAnsi="Arial" w:cs="Arial"/>
          <w:sz w:val="20"/>
          <w:szCs w:val="16"/>
          <w:lang w:val="es-MX"/>
        </w:rPr>
        <w:t>Se informa punto de Acuerdo.</w:t>
      </w:r>
    </w:p>
    <w:p w:rsidR="0001681B" w:rsidRPr="005B7A90" w:rsidRDefault="0001681B" w:rsidP="0001681B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:rsidR="0001681B" w:rsidRPr="005B7A90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49"/>
        <w:jc w:val="both"/>
        <w:rPr>
          <w:rFonts w:ascii="Arial" w:hAnsi="Arial" w:cs="Arial"/>
          <w:b/>
          <w:lang w:val="es-MX"/>
        </w:rPr>
      </w:pPr>
    </w:p>
    <w:p w:rsidR="0001681B" w:rsidRPr="005B7A90" w:rsidRDefault="0001681B" w:rsidP="0001681B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right="51"/>
        <w:jc w:val="both"/>
        <w:rPr>
          <w:rFonts w:ascii="Arial" w:hAnsi="Arial" w:cs="Arial"/>
          <w:b/>
          <w:lang w:val="es-MX"/>
        </w:rPr>
      </w:pPr>
      <w:r w:rsidRPr="005B7A90">
        <w:rPr>
          <w:rFonts w:ascii="Arial" w:hAnsi="Arial" w:cs="Arial"/>
          <w:b/>
          <w:lang w:val="es-MX"/>
        </w:rPr>
        <w:t>CONSEJERAS, CONSEJEROS, MAGISTRADO PRESIDENTE  DEL COMITÉ DE TRANSPARENCIA, MAGISTRADOS DEL CONSEJO ACADÉMICO, MAGISTRADOS DEL ÓRGANO AUXILI</w:t>
      </w:r>
      <w:r>
        <w:rPr>
          <w:rFonts w:ascii="Arial" w:hAnsi="Arial" w:cs="Arial"/>
          <w:b/>
          <w:lang w:val="es-MX"/>
        </w:rPr>
        <w:t xml:space="preserve">AR DE LA VISITADURÍA JUDICIAL, </w:t>
      </w:r>
      <w:r w:rsidRPr="005B7A90">
        <w:rPr>
          <w:rFonts w:ascii="Arial" w:hAnsi="Arial" w:cs="Arial"/>
          <w:b/>
          <w:lang w:val="es-MX"/>
        </w:rPr>
        <w:t>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:rsidR="0001681B" w:rsidRPr="005B7A90" w:rsidRDefault="0001681B" w:rsidP="0001681B">
      <w:pPr>
        <w:ind w:right="566"/>
        <w:jc w:val="both"/>
        <w:rPr>
          <w:rFonts w:ascii="Arial" w:eastAsia="Calibri" w:hAnsi="Arial" w:cs="Arial"/>
          <w:bCs/>
          <w:lang w:val="es-MX"/>
        </w:rPr>
      </w:pP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</w:tabs>
        <w:ind w:right="49"/>
        <w:jc w:val="both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>De conformidad con lo que establece el artículo 156, fracciones IX y XV de la Ley Orgánica del Poder Judicial del Estado, me permito hacer de su conocimiento que</w:t>
      </w:r>
      <w:r>
        <w:rPr>
          <w:rFonts w:ascii="Arial" w:hAnsi="Arial" w:cs="Arial"/>
          <w:bCs/>
        </w:rPr>
        <w:t xml:space="preserve"> en Sesión O</w:t>
      </w:r>
      <w:r w:rsidRPr="005B7A90">
        <w:rPr>
          <w:rFonts w:ascii="Arial" w:hAnsi="Arial" w:cs="Arial"/>
          <w:bCs/>
        </w:rPr>
        <w:t xml:space="preserve">rdinaria </w:t>
      </w:r>
      <w:r w:rsidRPr="005B7A90">
        <w:rPr>
          <w:rFonts w:ascii="Arial" w:hAnsi="Arial" w:cs="Arial"/>
          <w:bCs/>
        </w:rPr>
        <w:t xml:space="preserve">de fecha </w:t>
      </w:r>
      <w:r>
        <w:rPr>
          <w:rFonts w:ascii="Arial" w:hAnsi="Arial" w:cs="Arial"/>
          <w:bCs/>
        </w:rPr>
        <w:t>11</w:t>
      </w:r>
      <w:r w:rsidRPr="005B7A9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noviembre</w:t>
      </w:r>
      <w:r w:rsidRPr="005B7A90">
        <w:rPr>
          <w:rFonts w:ascii="Arial" w:hAnsi="Arial" w:cs="Arial"/>
          <w:bCs/>
        </w:rPr>
        <w:t xml:space="preserve"> de 2020, el Pleno del Consejo de la Judicatura Local, aprobó </w:t>
      </w:r>
      <w:r>
        <w:rPr>
          <w:rFonts w:ascii="Arial" w:hAnsi="Arial" w:cs="Arial"/>
          <w:bCs/>
        </w:rPr>
        <w:t>lo siguiente</w:t>
      </w:r>
      <w:r w:rsidRPr="005B7A90">
        <w:rPr>
          <w:rFonts w:ascii="Arial" w:hAnsi="Arial" w:cs="Arial"/>
          <w:bCs/>
        </w:rPr>
        <w:t xml:space="preserve">: </w:t>
      </w:r>
    </w:p>
    <w:p w:rsidR="0001681B" w:rsidRPr="0001681B" w:rsidRDefault="0001681B" w:rsidP="00C8041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2F2192" w:rsidRPr="000F72BF" w:rsidRDefault="0001681B" w:rsidP="00C80413">
      <w:pPr>
        <w:kinsoku w:val="0"/>
        <w:overflowPunct w:val="0"/>
        <w:spacing w:line="276" w:lineRule="auto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“…</w:t>
      </w:r>
      <w:r w:rsidR="002F2192" w:rsidRPr="000F72BF">
        <w:rPr>
          <w:rFonts w:ascii="Arial" w:hAnsi="Arial" w:cs="Arial"/>
          <w:sz w:val="22"/>
          <w:szCs w:val="22"/>
          <w:lang w:val="es-ES"/>
        </w:rPr>
        <w:t xml:space="preserve">El Pleno del Consejo de la Judicatura Local, de conformidad con lo dispuesto en los artículos </w:t>
      </w:r>
      <w:r w:rsidR="00CF74B4" w:rsidRPr="000F72BF">
        <w:rPr>
          <w:rFonts w:ascii="Arial" w:hAnsi="Arial" w:cs="Arial"/>
          <w:sz w:val="22"/>
          <w:szCs w:val="22"/>
          <w:lang w:val="es-ES"/>
        </w:rPr>
        <w:t xml:space="preserve">77, 78 bis, de la Constitución Política del Estado de Campeche, 110, 125, fracciones </w:t>
      </w:r>
      <w:r w:rsidR="002A0EEA" w:rsidRPr="000F72BF">
        <w:rPr>
          <w:rFonts w:ascii="Arial" w:hAnsi="Arial" w:cs="Arial"/>
          <w:sz w:val="22"/>
          <w:szCs w:val="22"/>
          <w:lang w:val="es-ES"/>
        </w:rPr>
        <w:t>VII y</w:t>
      </w:r>
      <w:r w:rsidR="007B443E" w:rsidRPr="000F72BF">
        <w:rPr>
          <w:rFonts w:ascii="Arial" w:hAnsi="Arial" w:cs="Arial"/>
          <w:sz w:val="22"/>
          <w:szCs w:val="22"/>
          <w:lang w:val="es-ES"/>
        </w:rPr>
        <w:t xml:space="preserve"> XIX,</w:t>
      </w:r>
      <w:r w:rsidR="002A0EEA" w:rsidRPr="000F72BF">
        <w:rPr>
          <w:rFonts w:ascii="Arial" w:hAnsi="Arial" w:cs="Arial"/>
          <w:sz w:val="22"/>
          <w:szCs w:val="22"/>
          <w:lang w:val="es-ES"/>
        </w:rPr>
        <w:t xml:space="preserve"> 145, 146, fracción III</w:t>
      </w:r>
      <w:r w:rsidR="007B443E" w:rsidRPr="000F72BF">
        <w:rPr>
          <w:rFonts w:ascii="Arial" w:hAnsi="Arial" w:cs="Arial"/>
          <w:sz w:val="22"/>
          <w:szCs w:val="22"/>
          <w:lang w:val="es-ES"/>
        </w:rPr>
        <w:t>, 147</w:t>
      </w:r>
      <w:r w:rsidR="002A0EEA" w:rsidRPr="000F72BF">
        <w:rPr>
          <w:rFonts w:ascii="Arial" w:hAnsi="Arial" w:cs="Arial"/>
          <w:sz w:val="22"/>
          <w:szCs w:val="22"/>
          <w:lang w:val="es-ES"/>
        </w:rPr>
        <w:t>, 157, fracción II, 220</w:t>
      </w:r>
      <w:r w:rsidR="00CF74B4" w:rsidRPr="000F72BF">
        <w:rPr>
          <w:rFonts w:ascii="Arial" w:hAnsi="Arial" w:cs="Arial"/>
          <w:sz w:val="22"/>
          <w:szCs w:val="22"/>
          <w:lang w:val="es-ES"/>
        </w:rPr>
        <w:t xml:space="preserve"> de la Ley</w:t>
      </w:r>
      <w:r w:rsidR="005C7224" w:rsidRPr="000F72BF">
        <w:rPr>
          <w:rFonts w:ascii="Arial" w:hAnsi="Arial" w:cs="Arial"/>
          <w:sz w:val="22"/>
          <w:szCs w:val="22"/>
          <w:lang w:val="es-ES"/>
        </w:rPr>
        <w:t xml:space="preserve"> Orgánica del Poder Judicial del Estado,</w:t>
      </w:r>
      <w:r w:rsidR="006552B6" w:rsidRPr="000F72BF">
        <w:rPr>
          <w:rFonts w:ascii="Arial" w:hAnsi="Arial" w:cs="Arial"/>
          <w:sz w:val="22"/>
          <w:szCs w:val="22"/>
          <w:lang w:val="es-ES"/>
        </w:rPr>
        <w:t xml:space="preserve"> </w:t>
      </w:r>
      <w:r w:rsidR="002F2192" w:rsidRPr="000F72BF">
        <w:rPr>
          <w:rFonts w:ascii="Arial" w:hAnsi="Arial" w:cs="Arial"/>
          <w:sz w:val="22"/>
          <w:szCs w:val="22"/>
          <w:lang w:val="es-ES"/>
        </w:rPr>
        <w:t>y con base en el </w:t>
      </w:r>
      <w:r w:rsidR="00FE6309" w:rsidRPr="000F72BF">
        <w:rPr>
          <w:rFonts w:ascii="Arial" w:hAnsi="Arial" w:cs="Arial"/>
          <w:sz w:val="22"/>
          <w:szCs w:val="22"/>
          <w:lang w:val="es-ES"/>
        </w:rPr>
        <w:t xml:space="preserve">artículo </w:t>
      </w:r>
      <w:r w:rsidR="002A0EEA" w:rsidRPr="000F72BF">
        <w:rPr>
          <w:rFonts w:ascii="Arial" w:hAnsi="Arial" w:cs="Arial"/>
          <w:sz w:val="22"/>
          <w:szCs w:val="22"/>
          <w:lang w:val="es-ES"/>
        </w:rPr>
        <w:t>5</w:t>
      </w:r>
      <w:r w:rsidR="00FE6309" w:rsidRPr="000F72BF">
        <w:rPr>
          <w:rFonts w:ascii="Arial" w:hAnsi="Arial" w:cs="Arial"/>
          <w:sz w:val="22"/>
          <w:szCs w:val="22"/>
          <w:lang w:val="es-ES"/>
        </w:rPr>
        <w:t xml:space="preserve"> del</w:t>
      </w:r>
      <w:r w:rsidR="006552B6" w:rsidRPr="000F72BF">
        <w:rPr>
          <w:rFonts w:ascii="Arial" w:hAnsi="Arial" w:cs="Arial"/>
          <w:sz w:val="22"/>
          <w:szCs w:val="22"/>
          <w:lang w:val="es-ES"/>
        </w:rPr>
        <w:t xml:space="preserve"> </w:t>
      </w:r>
      <w:r w:rsidR="00A6718D" w:rsidRPr="000F72BF">
        <w:rPr>
          <w:rFonts w:ascii="Arial" w:hAnsi="Arial" w:cs="Arial"/>
          <w:sz w:val="22"/>
          <w:szCs w:val="22"/>
          <w:lang w:val="es-ES"/>
        </w:rPr>
        <w:t>REGLAMENTO DE CAMBIOS DE ADSCRIPCIÓN Y READSCRIPCIÓN DE JUEZAS, JUECES, SECRETARIAS O SECRETARIOS DE ACUERDOS, ACTUARIAS, ACTUARIOS, O CATEGORIAS SIMILARES QUE INTEGRAN LA CARRERA JUDICIAL EN LOS JUZGADOS DE PRIMERA INSTANCIA DEL PODER JUDICIAL DEL ESTADO</w:t>
      </w:r>
      <w:r w:rsidR="002F2192" w:rsidRPr="000F72BF">
        <w:rPr>
          <w:rFonts w:ascii="Arial" w:hAnsi="Arial" w:cs="Arial"/>
          <w:sz w:val="22"/>
          <w:szCs w:val="22"/>
          <w:lang w:val="es-ES"/>
        </w:rPr>
        <w:t>, emite la siguiente</w:t>
      </w:r>
      <w:r w:rsidR="00546B6D" w:rsidRPr="000F72BF">
        <w:rPr>
          <w:rFonts w:ascii="Arial" w:hAnsi="Arial" w:cs="Arial"/>
          <w:sz w:val="22"/>
          <w:szCs w:val="22"/>
          <w:lang w:val="es-ES"/>
        </w:rPr>
        <w:t>:</w:t>
      </w:r>
    </w:p>
    <w:p w:rsidR="002F2192" w:rsidRPr="000F72BF" w:rsidRDefault="002F2192" w:rsidP="00C80413">
      <w:pPr>
        <w:kinsoku w:val="0"/>
        <w:overflowPunct w:val="0"/>
        <w:spacing w:line="276" w:lineRule="auto"/>
        <w:textAlignment w:val="baseline"/>
        <w:rPr>
          <w:rFonts w:ascii="Arial" w:hAnsi="Arial" w:cs="Arial"/>
          <w:spacing w:val="5"/>
          <w:sz w:val="18"/>
          <w:szCs w:val="18"/>
          <w:lang w:val="es-ES"/>
        </w:rPr>
      </w:pPr>
    </w:p>
    <w:p w:rsidR="00413AAD" w:rsidRPr="000F72BF" w:rsidRDefault="00413AAD" w:rsidP="00C80413">
      <w:pPr>
        <w:kinsoku w:val="0"/>
        <w:overflowPunct w:val="0"/>
        <w:spacing w:line="276" w:lineRule="auto"/>
        <w:textAlignment w:val="baseline"/>
        <w:rPr>
          <w:rFonts w:ascii="Arial" w:hAnsi="Arial" w:cs="Arial"/>
          <w:spacing w:val="5"/>
          <w:sz w:val="18"/>
          <w:szCs w:val="18"/>
          <w:lang w:val="es-ES"/>
        </w:rPr>
      </w:pPr>
    </w:p>
    <w:p w:rsidR="002F2192" w:rsidRPr="000F72BF" w:rsidRDefault="002F2192" w:rsidP="00C80413">
      <w:pPr>
        <w:kinsoku w:val="0"/>
        <w:overflowPunct w:val="0"/>
        <w:spacing w:line="276" w:lineRule="auto"/>
        <w:jc w:val="center"/>
        <w:textAlignment w:val="baseline"/>
        <w:rPr>
          <w:rFonts w:ascii="Arial" w:hAnsi="Arial" w:cs="Arial"/>
          <w:b/>
          <w:color w:val="404040" w:themeColor="text1" w:themeTint="BF"/>
          <w:spacing w:val="5"/>
          <w:sz w:val="96"/>
          <w:szCs w:val="18"/>
          <w:lang w:val="es-ES"/>
        </w:rPr>
      </w:pPr>
      <w:r w:rsidRPr="000F72BF">
        <w:rPr>
          <w:rFonts w:ascii="Arial" w:hAnsi="Arial" w:cs="Arial"/>
          <w:b/>
          <w:color w:val="404040" w:themeColor="text1" w:themeTint="BF"/>
          <w:spacing w:val="5"/>
          <w:sz w:val="96"/>
          <w:szCs w:val="18"/>
          <w:lang w:val="es-ES"/>
        </w:rPr>
        <w:t>CONVOCATORIA</w:t>
      </w:r>
    </w:p>
    <w:p w:rsidR="00FE6309" w:rsidRPr="000F72BF" w:rsidRDefault="00FE6309" w:rsidP="00C80413">
      <w:pPr>
        <w:kinsoku w:val="0"/>
        <w:overflowPunct w:val="0"/>
        <w:spacing w:line="276" w:lineRule="auto"/>
        <w:jc w:val="center"/>
        <w:textAlignment w:val="baseline"/>
        <w:rPr>
          <w:rFonts w:ascii="Calibri" w:hAnsi="Calibri" w:cs="Calibri"/>
          <w:spacing w:val="4"/>
          <w:sz w:val="28"/>
          <w:szCs w:val="28"/>
          <w:lang w:val="es-ES"/>
        </w:rPr>
      </w:pPr>
      <w:r w:rsidRPr="000F72BF">
        <w:rPr>
          <w:rFonts w:ascii="Calibri" w:hAnsi="Calibri" w:cs="Calibri"/>
          <w:spacing w:val="4"/>
          <w:sz w:val="28"/>
          <w:szCs w:val="28"/>
          <w:lang w:val="es-ES"/>
        </w:rPr>
        <w:t>A los servidores judiciales interesados en participar en el</w:t>
      </w:r>
    </w:p>
    <w:p w:rsidR="002F2192" w:rsidRPr="000F72BF" w:rsidRDefault="002F2192" w:rsidP="00C80413">
      <w:pPr>
        <w:kinsoku w:val="0"/>
        <w:overflowPunct w:val="0"/>
        <w:spacing w:line="276" w:lineRule="auto"/>
        <w:textAlignment w:val="baseline"/>
        <w:rPr>
          <w:rFonts w:ascii="Arial" w:hAnsi="Arial" w:cs="Arial"/>
          <w:spacing w:val="4"/>
          <w:sz w:val="18"/>
          <w:szCs w:val="18"/>
          <w:lang w:val="es-ES"/>
        </w:rPr>
      </w:pPr>
    </w:p>
    <w:p w:rsidR="002F2192" w:rsidRPr="000F72BF" w:rsidRDefault="002F2192" w:rsidP="00C80413">
      <w:pPr>
        <w:kinsoku w:val="0"/>
        <w:overflowPunct w:val="0"/>
        <w:spacing w:line="276" w:lineRule="auto"/>
        <w:jc w:val="center"/>
        <w:textAlignment w:val="baseline"/>
        <w:rPr>
          <w:rFonts w:ascii="Arial" w:hAnsi="Arial" w:cs="Arial"/>
          <w:spacing w:val="4"/>
          <w:sz w:val="18"/>
          <w:szCs w:val="18"/>
          <w:lang w:val="es-ES"/>
        </w:rPr>
      </w:pPr>
    </w:p>
    <w:p w:rsidR="002F2192" w:rsidRPr="000F72BF" w:rsidRDefault="00FE6309" w:rsidP="00C80413">
      <w:pPr>
        <w:shd w:val="clear" w:color="auto" w:fill="D6E3BC" w:themeFill="accent3" w:themeFillTint="66"/>
        <w:spacing w:line="276" w:lineRule="auto"/>
        <w:jc w:val="center"/>
        <w:rPr>
          <w:rFonts w:ascii="Arial" w:hAnsi="Arial" w:cs="Arial"/>
          <w:b/>
          <w:sz w:val="44"/>
          <w:szCs w:val="18"/>
          <w:lang w:val="es-ES"/>
        </w:rPr>
      </w:pPr>
      <w:r w:rsidRPr="000F72BF">
        <w:rPr>
          <w:rFonts w:ascii="Arial" w:eastAsia="Times New Roman" w:hAnsi="Arial" w:cs="Arial"/>
          <w:b/>
          <w:sz w:val="44"/>
          <w:szCs w:val="18"/>
        </w:rPr>
        <w:t>PROCESO DE CAMBIO DE ADSCRIPCIÓN</w:t>
      </w:r>
      <w:r w:rsidR="00F6782F" w:rsidRPr="000F72BF">
        <w:rPr>
          <w:rFonts w:ascii="Arial" w:eastAsia="Times New Roman" w:hAnsi="Arial" w:cs="Arial"/>
          <w:b/>
          <w:sz w:val="44"/>
          <w:szCs w:val="18"/>
        </w:rPr>
        <w:t xml:space="preserve"> PARA </w:t>
      </w:r>
      <w:r w:rsidR="005C15C8" w:rsidRPr="000F72BF">
        <w:rPr>
          <w:rFonts w:ascii="Arial" w:eastAsia="Times New Roman" w:hAnsi="Arial" w:cs="Arial"/>
          <w:b/>
          <w:sz w:val="44"/>
          <w:szCs w:val="18"/>
        </w:rPr>
        <w:t>JUEZAS Y JUECES</w:t>
      </w:r>
      <w:r w:rsidR="00F6782F" w:rsidRPr="000F72BF">
        <w:rPr>
          <w:rFonts w:ascii="Arial" w:eastAsia="Times New Roman" w:hAnsi="Arial" w:cs="Arial"/>
          <w:b/>
          <w:sz w:val="44"/>
          <w:szCs w:val="18"/>
        </w:rPr>
        <w:t xml:space="preserve"> </w:t>
      </w:r>
    </w:p>
    <w:p w:rsidR="002F2192" w:rsidRPr="000F72BF" w:rsidRDefault="002F2192" w:rsidP="00C8041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2F2192" w:rsidRPr="000F72BF" w:rsidRDefault="002F2192" w:rsidP="00C80413">
      <w:pPr>
        <w:spacing w:line="276" w:lineRule="auto"/>
        <w:jc w:val="center"/>
        <w:rPr>
          <w:rFonts w:ascii="Arial" w:hAnsi="Arial" w:cs="Arial"/>
          <w:b/>
          <w:bCs/>
          <w:lang w:val="es-ES"/>
        </w:rPr>
      </w:pPr>
    </w:p>
    <w:p w:rsidR="002F2192" w:rsidRPr="000F72BF" w:rsidRDefault="002F2192" w:rsidP="00C8041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F72BF">
        <w:rPr>
          <w:rFonts w:ascii="Arial" w:hAnsi="Arial" w:cs="Arial"/>
          <w:sz w:val="22"/>
          <w:szCs w:val="22"/>
          <w:lang w:val="es-ES"/>
        </w:rPr>
        <w:t xml:space="preserve">Que se efectuará de acuerdo a lo establecido en el </w:t>
      </w:r>
      <w:r w:rsidR="004214A6" w:rsidRPr="000F72BF">
        <w:rPr>
          <w:rFonts w:ascii="Arial" w:hAnsi="Arial" w:cs="Arial"/>
          <w:sz w:val="22"/>
          <w:szCs w:val="22"/>
          <w:lang w:val="es-ES"/>
        </w:rPr>
        <w:t>Reglamento citado líneas arriba</w:t>
      </w:r>
      <w:r w:rsidR="008B136E" w:rsidRPr="000F72BF">
        <w:rPr>
          <w:rFonts w:ascii="Arial" w:hAnsi="Arial" w:cs="Arial"/>
          <w:sz w:val="22"/>
          <w:szCs w:val="22"/>
          <w:lang w:val="es-ES"/>
        </w:rPr>
        <w:t xml:space="preserve">, </w:t>
      </w:r>
      <w:r w:rsidRPr="000F72BF">
        <w:rPr>
          <w:rFonts w:ascii="Arial" w:hAnsi="Arial" w:cs="Arial"/>
          <w:sz w:val="22"/>
          <w:szCs w:val="22"/>
          <w:lang w:val="es-ES"/>
        </w:rPr>
        <w:t xml:space="preserve">aprobado en Sesión </w:t>
      </w:r>
      <w:r w:rsidR="00FE6309" w:rsidRPr="000F72BF">
        <w:rPr>
          <w:rFonts w:ascii="Arial" w:hAnsi="Arial" w:cs="Arial"/>
          <w:sz w:val="22"/>
          <w:szCs w:val="22"/>
          <w:lang w:val="es-ES"/>
        </w:rPr>
        <w:t>Ordinaria</w:t>
      </w:r>
      <w:r w:rsidRPr="000F72BF">
        <w:rPr>
          <w:rFonts w:ascii="Arial" w:hAnsi="Arial" w:cs="Arial"/>
          <w:sz w:val="22"/>
          <w:szCs w:val="22"/>
          <w:lang w:val="es-ES"/>
        </w:rPr>
        <w:t xml:space="preserve"> del  Pleno del Consejo de la Judicatura del Poder Judicial del Estado, de fecha </w:t>
      </w:r>
      <w:r w:rsidR="00A6718D" w:rsidRPr="000F72BF">
        <w:rPr>
          <w:rFonts w:ascii="Arial" w:hAnsi="Arial" w:cs="Arial"/>
          <w:sz w:val="22"/>
          <w:szCs w:val="22"/>
          <w:lang w:val="es-ES"/>
        </w:rPr>
        <w:t>04</w:t>
      </w:r>
      <w:r w:rsidRPr="000F72BF">
        <w:rPr>
          <w:rFonts w:ascii="Arial" w:hAnsi="Arial" w:cs="Arial"/>
          <w:sz w:val="22"/>
          <w:szCs w:val="22"/>
          <w:lang w:val="es-ES"/>
        </w:rPr>
        <w:t xml:space="preserve"> de </w:t>
      </w:r>
      <w:r w:rsidR="00A6718D" w:rsidRPr="000F72BF">
        <w:rPr>
          <w:rFonts w:ascii="Arial" w:hAnsi="Arial" w:cs="Arial"/>
          <w:sz w:val="22"/>
          <w:szCs w:val="22"/>
          <w:lang w:val="es-ES"/>
        </w:rPr>
        <w:t>noviembre</w:t>
      </w:r>
      <w:r w:rsidRPr="000F72BF">
        <w:rPr>
          <w:rFonts w:ascii="Arial" w:hAnsi="Arial" w:cs="Arial"/>
          <w:sz w:val="22"/>
          <w:szCs w:val="22"/>
          <w:lang w:val="es-ES"/>
        </w:rPr>
        <w:t xml:space="preserve"> de 2020, </w:t>
      </w:r>
      <w:bookmarkStart w:id="0" w:name="_Hlk43274496"/>
      <w:r w:rsidR="00D26FD1" w:rsidRPr="000F72BF">
        <w:rPr>
          <w:rFonts w:ascii="Arial" w:hAnsi="Arial" w:cs="Arial"/>
          <w:sz w:val="22"/>
          <w:szCs w:val="22"/>
          <w:lang w:val="es-ES"/>
        </w:rPr>
        <w:t xml:space="preserve">publicado en el Periódico Oficial del Estado el </w:t>
      </w:r>
      <w:r w:rsidR="00A6718D" w:rsidRPr="000F72BF">
        <w:rPr>
          <w:rFonts w:ascii="Arial" w:hAnsi="Arial" w:cs="Arial"/>
          <w:sz w:val="22"/>
          <w:szCs w:val="22"/>
          <w:lang w:val="es-ES"/>
        </w:rPr>
        <w:t>06</w:t>
      </w:r>
      <w:r w:rsidR="00D26FD1" w:rsidRPr="000F72BF">
        <w:rPr>
          <w:rFonts w:ascii="Arial" w:hAnsi="Arial" w:cs="Arial"/>
          <w:sz w:val="22"/>
          <w:szCs w:val="22"/>
          <w:lang w:val="es-ES"/>
        </w:rPr>
        <w:t xml:space="preserve"> de </w:t>
      </w:r>
      <w:r w:rsidR="00A6718D" w:rsidRPr="000F72BF">
        <w:rPr>
          <w:rFonts w:ascii="Arial" w:hAnsi="Arial" w:cs="Arial"/>
          <w:sz w:val="22"/>
          <w:szCs w:val="22"/>
          <w:lang w:val="es-ES"/>
        </w:rPr>
        <w:t>noviembre</w:t>
      </w:r>
      <w:r w:rsidR="00D26FD1" w:rsidRPr="000F72BF">
        <w:rPr>
          <w:rFonts w:ascii="Arial" w:hAnsi="Arial" w:cs="Arial"/>
          <w:sz w:val="22"/>
          <w:szCs w:val="22"/>
          <w:lang w:val="es-ES"/>
        </w:rPr>
        <w:t xml:space="preserve"> del año en curso</w:t>
      </w:r>
      <w:bookmarkEnd w:id="0"/>
      <w:r w:rsidR="00D26FD1" w:rsidRPr="000F72BF">
        <w:rPr>
          <w:rFonts w:ascii="Arial" w:hAnsi="Arial" w:cs="Arial"/>
          <w:sz w:val="22"/>
          <w:szCs w:val="22"/>
          <w:lang w:val="es-ES"/>
        </w:rPr>
        <w:t xml:space="preserve">, </w:t>
      </w:r>
      <w:r w:rsidRPr="000F72BF">
        <w:rPr>
          <w:rFonts w:ascii="Arial" w:hAnsi="Arial" w:cs="Arial"/>
          <w:sz w:val="22"/>
          <w:szCs w:val="22"/>
          <w:lang w:val="es-ES"/>
        </w:rPr>
        <w:t>y de conformidad con las siguientes:</w:t>
      </w:r>
    </w:p>
    <w:p w:rsidR="002F2192" w:rsidRPr="000F72BF" w:rsidRDefault="002F2192" w:rsidP="00C8041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2F2192" w:rsidRPr="000F72BF" w:rsidRDefault="002F2192" w:rsidP="00C80413">
      <w:pPr>
        <w:spacing w:line="276" w:lineRule="auto"/>
        <w:jc w:val="center"/>
        <w:rPr>
          <w:rFonts w:ascii="Arial" w:eastAsia="Times New Roman" w:hAnsi="Arial" w:cs="Arial"/>
          <w:color w:val="2F2F2F"/>
          <w:sz w:val="72"/>
          <w:szCs w:val="18"/>
        </w:rPr>
      </w:pPr>
      <w:r w:rsidRPr="000F72BF">
        <w:rPr>
          <w:rFonts w:ascii="Arial" w:eastAsia="Times New Roman" w:hAnsi="Arial" w:cs="Arial"/>
          <w:b/>
          <w:bCs/>
          <w:color w:val="2F2F2F"/>
          <w:sz w:val="72"/>
          <w:szCs w:val="18"/>
        </w:rPr>
        <w:t>BASES</w:t>
      </w:r>
    </w:p>
    <w:p w:rsidR="002F2192" w:rsidRPr="000F72BF" w:rsidRDefault="002F2192" w:rsidP="00C80413">
      <w:pPr>
        <w:spacing w:line="276" w:lineRule="auto"/>
        <w:jc w:val="both"/>
        <w:rPr>
          <w:rFonts w:ascii="Arial" w:hAnsi="Arial" w:cs="Arial"/>
          <w:sz w:val="18"/>
          <w:szCs w:val="18"/>
          <w:lang w:val="es-ES"/>
        </w:rPr>
      </w:pPr>
    </w:p>
    <w:p w:rsidR="002F2192" w:rsidRPr="000F72BF" w:rsidRDefault="002F2192" w:rsidP="00C80413">
      <w:pPr>
        <w:spacing w:line="276" w:lineRule="auto"/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color w:val="2F2F2F"/>
          <w:sz w:val="22"/>
          <w:szCs w:val="22"/>
        </w:rPr>
        <w:t xml:space="preserve">PRIMERA. </w:t>
      </w:r>
      <w:r w:rsidR="004214A6" w:rsidRPr="000F72BF">
        <w:rPr>
          <w:rFonts w:ascii="Arial" w:eastAsia="Times New Roman" w:hAnsi="Arial" w:cs="Arial"/>
          <w:b/>
          <w:bCs/>
          <w:color w:val="2F2F2F"/>
          <w:sz w:val="22"/>
          <w:szCs w:val="22"/>
        </w:rPr>
        <w:t>Plazas que estarán sujetas a cambios de adscripción:</w:t>
      </w:r>
    </w:p>
    <w:p w:rsidR="00D90C8B" w:rsidRPr="000F72BF" w:rsidRDefault="00D90C8B" w:rsidP="00C80413">
      <w:pPr>
        <w:spacing w:line="276" w:lineRule="auto"/>
        <w:jc w:val="both"/>
        <w:rPr>
          <w:rFonts w:ascii="Arial" w:eastAsia="Times New Roman" w:hAnsi="Arial" w:cs="Arial"/>
          <w:color w:val="2F2F2F"/>
          <w:sz w:val="22"/>
          <w:szCs w:val="22"/>
        </w:rPr>
      </w:pPr>
    </w:p>
    <w:p w:rsidR="002F2192" w:rsidRPr="000F72BF" w:rsidRDefault="002F2192" w:rsidP="002F2192">
      <w:pPr>
        <w:jc w:val="both"/>
        <w:rPr>
          <w:rFonts w:ascii="Arial" w:eastAsia="Times New Roman" w:hAnsi="Arial" w:cs="Arial"/>
          <w:color w:val="2F2F2F"/>
          <w:sz w:val="18"/>
          <w:szCs w:val="1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135"/>
      </w:tblGrid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C2D69B" w:themeFill="accent3" w:themeFillTint="99"/>
          </w:tcPr>
          <w:p w:rsidR="0085728A" w:rsidRPr="000F72BF" w:rsidRDefault="0085728A" w:rsidP="008B00D0">
            <w:pPr>
              <w:jc w:val="center"/>
              <w:rPr>
                <w:rFonts w:cstheme="minorHAnsi"/>
                <w:b/>
                <w:sz w:val="20"/>
                <w:szCs w:val="18"/>
                <w:lang w:val="es-ES"/>
              </w:rPr>
            </w:pP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A6A6A6" w:themeFill="background1" w:themeFillShade="A6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PRIMER DISTRITO JUDICIAL</w:t>
            </w:r>
          </w:p>
        </w:tc>
      </w:tr>
      <w:tr w:rsidR="0085728A" w:rsidRPr="000F72BF" w:rsidTr="008B00D0">
        <w:trPr>
          <w:trHeight w:val="261"/>
          <w:jc w:val="center"/>
        </w:trPr>
        <w:tc>
          <w:tcPr>
            <w:tcW w:w="7808" w:type="dxa"/>
            <w:gridSpan w:val="2"/>
            <w:shd w:val="clear" w:color="auto" w:fill="D9D9D9" w:themeFill="background1" w:themeFillShade="D9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MATERIA FAMILIAR</w:t>
            </w: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85728A" w:rsidRPr="000F72BF" w:rsidRDefault="006552B6" w:rsidP="008B00D0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Juez del Juzgado Primero de Primera Instancia del Ramo Familiar del Primer Distrito Judicial del Estado.</w:t>
            </w:r>
          </w:p>
        </w:tc>
      </w:tr>
      <w:tr w:rsidR="006552B6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6552B6" w:rsidRPr="000F72BF" w:rsidRDefault="006552B6" w:rsidP="006552B6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Juez del Juzgado Segundo de Primera Instancia del Ramo Familiar del Primer Distrito Judicial del Estado.</w:t>
            </w:r>
          </w:p>
        </w:tc>
      </w:tr>
      <w:tr w:rsidR="006552B6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6552B6" w:rsidRPr="000F72BF" w:rsidRDefault="006552B6" w:rsidP="006552B6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Juez del Juzgado Tercero de Primera Instancia del Ramo Familiar del Primer Distrito Judicial del Estado.</w:t>
            </w:r>
          </w:p>
        </w:tc>
      </w:tr>
      <w:tr w:rsidR="006552B6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DDD9C3" w:themeFill="background2" w:themeFillShade="E6"/>
          </w:tcPr>
          <w:p w:rsidR="006552B6" w:rsidRPr="000F72BF" w:rsidRDefault="006552B6" w:rsidP="008B00D0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MATERIA CIVIL</w:t>
            </w:r>
          </w:p>
        </w:tc>
      </w:tr>
      <w:tr w:rsidR="006552B6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6552B6" w:rsidRPr="000F72BF" w:rsidRDefault="006552B6" w:rsidP="006552B6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Juez del Juzgado Tercero de Primera Instancia del Ramo Civil del Primer Distrito Judicial del Estado.</w:t>
            </w:r>
          </w:p>
        </w:tc>
      </w:tr>
      <w:tr w:rsidR="006552B6" w:rsidRPr="000F72BF" w:rsidTr="008B00D0">
        <w:trPr>
          <w:trHeight w:val="251"/>
          <w:jc w:val="center"/>
        </w:trPr>
        <w:tc>
          <w:tcPr>
            <w:tcW w:w="4673" w:type="dxa"/>
            <w:shd w:val="clear" w:color="auto" w:fill="D9D9D9" w:themeFill="background1" w:themeFillShade="D9"/>
          </w:tcPr>
          <w:p w:rsidR="006552B6" w:rsidRPr="000F72BF" w:rsidRDefault="006552B6" w:rsidP="008B00D0">
            <w:pPr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6552B6" w:rsidRPr="000F72BF" w:rsidRDefault="006552B6" w:rsidP="008B00D0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  <w:t>4</w:t>
            </w:r>
          </w:p>
        </w:tc>
      </w:tr>
    </w:tbl>
    <w:p w:rsidR="002F2192" w:rsidRPr="000F72BF" w:rsidRDefault="002F2192" w:rsidP="002F2192">
      <w:pPr>
        <w:jc w:val="center"/>
        <w:rPr>
          <w:rFonts w:cstheme="minorHAnsi"/>
          <w:sz w:val="18"/>
          <w:szCs w:val="18"/>
          <w:lang w:val="es-ES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135"/>
      </w:tblGrid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C2D69B" w:themeFill="accent3" w:themeFillTint="99"/>
          </w:tcPr>
          <w:p w:rsidR="0085728A" w:rsidRPr="000F72BF" w:rsidRDefault="0085728A" w:rsidP="008B00D0">
            <w:pPr>
              <w:jc w:val="center"/>
              <w:rPr>
                <w:rFonts w:cstheme="minorHAnsi"/>
                <w:b/>
                <w:sz w:val="20"/>
                <w:szCs w:val="18"/>
                <w:lang w:val="es-ES"/>
              </w:rPr>
            </w:pP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A6A6A6" w:themeFill="background1" w:themeFillShade="A6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TERCER DISTRITO JUDICIAL</w:t>
            </w:r>
          </w:p>
        </w:tc>
      </w:tr>
      <w:tr w:rsidR="0085728A" w:rsidRPr="000F72BF" w:rsidTr="008B00D0">
        <w:trPr>
          <w:trHeight w:val="261"/>
          <w:jc w:val="center"/>
        </w:trPr>
        <w:tc>
          <w:tcPr>
            <w:tcW w:w="7808" w:type="dxa"/>
            <w:gridSpan w:val="2"/>
            <w:shd w:val="clear" w:color="auto" w:fill="D9D9D9" w:themeFill="background1" w:themeFillShade="D9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MATERIA FAMILIAR</w:t>
            </w: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85728A" w:rsidRPr="000F72BF" w:rsidRDefault="000F72C2" w:rsidP="008B00D0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Juez del </w:t>
            </w:r>
            <w:r w:rsidR="006552B6"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Juzgado Primero Mixto Civil, Familiar y Mercantil </w:t>
            </w: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de Primera Instancia </w:t>
            </w:r>
            <w:r w:rsidR="006552B6"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del Tercer Distrito Judicial del Estado</w:t>
            </w: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4673" w:type="dxa"/>
            <w:shd w:val="clear" w:color="auto" w:fill="D9D9D9" w:themeFill="background1" w:themeFillShade="D9"/>
          </w:tcPr>
          <w:p w:rsidR="0085728A" w:rsidRPr="000F72BF" w:rsidRDefault="0085728A" w:rsidP="008B00D0">
            <w:pPr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85728A" w:rsidRPr="000F72BF" w:rsidRDefault="006552B6" w:rsidP="008B00D0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  <w:t>1</w:t>
            </w:r>
          </w:p>
        </w:tc>
      </w:tr>
    </w:tbl>
    <w:p w:rsidR="0085728A" w:rsidRPr="000F72BF" w:rsidRDefault="0085728A" w:rsidP="00230EE7">
      <w:pPr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</w:p>
    <w:p w:rsidR="0085728A" w:rsidRPr="000F72BF" w:rsidRDefault="0085728A" w:rsidP="00230EE7">
      <w:pPr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3135"/>
      </w:tblGrid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C2D69B" w:themeFill="accent3" w:themeFillTint="99"/>
          </w:tcPr>
          <w:p w:rsidR="0085728A" w:rsidRPr="000F72BF" w:rsidRDefault="0085728A" w:rsidP="008B00D0">
            <w:pPr>
              <w:jc w:val="center"/>
              <w:rPr>
                <w:rFonts w:cstheme="minorHAnsi"/>
                <w:b/>
                <w:sz w:val="20"/>
                <w:szCs w:val="18"/>
                <w:lang w:val="es-ES"/>
              </w:rPr>
            </w:pP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  <w:shd w:val="clear" w:color="auto" w:fill="A6A6A6" w:themeFill="background1" w:themeFillShade="A6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CUARTO DISTRITO JUDICIAL</w:t>
            </w:r>
          </w:p>
        </w:tc>
      </w:tr>
      <w:tr w:rsidR="0085728A" w:rsidRPr="000F72BF" w:rsidTr="008B00D0">
        <w:trPr>
          <w:trHeight w:val="261"/>
          <w:jc w:val="center"/>
        </w:trPr>
        <w:tc>
          <w:tcPr>
            <w:tcW w:w="7808" w:type="dxa"/>
            <w:gridSpan w:val="2"/>
            <w:shd w:val="clear" w:color="auto" w:fill="D9D9D9" w:themeFill="background1" w:themeFillShade="D9"/>
          </w:tcPr>
          <w:p w:rsidR="0085728A" w:rsidRPr="000F72BF" w:rsidRDefault="0085728A" w:rsidP="008B00D0">
            <w:pPr>
              <w:jc w:val="center"/>
              <w:rPr>
                <w:rFonts w:cstheme="minorHAnsi"/>
                <w:sz w:val="20"/>
                <w:szCs w:val="18"/>
                <w:lang w:val="es-ES"/>
              </w:rPr>
            </w:pPr>
            <w:r w:rsidRPr="000F72BF">
              <w:rPr>
                <w:rFonts w:cstheme="minorHAnsi"/>
                <w:sz w:val="20"/>
                <w:szCs w:val="18"/>
                <w:lang w:val="es-ES"/>
              </w:rPr>
              <w:t>MATERIA FAMILIAR</w:t>
            </w: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7808" w:type="dxa"/>
            <w:gridSpan w:val="2"/>
          </w:tcPr>
          <w:p w:rsidR="0085728A" w:rsidRPr="000F72BF" w:rsidRDefault="000F72C2" w:rsidP="008B00D0">
            <w:pPr>
              <w:jc w:val="center"/>
              <w:rPr>
                <w:rFonts w:ascii="Calibri" w:eastAsia="Times New Roman" w:hAnsi="Calibri" w:cs="Calibri"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Juez del </w:t>
            </w:r>
            <w:r w:rsidR="006552B6"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Juzgado Mixto Civil, Familiar y Mercantil </w:t>
            </w:r>
            <w:r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 xml:space="preserve">de Primera Instancia </w:t>
            </w:r>
            <w:r w:rsidR="006552B6" w:rsidRPr="000F72BF">
              <w:rPr>
                <w:rFonts w:ascii="Calibri" w:eastAsia="Times New Roman" w:hAnsi="Calibri" w:cs="Calibri"/>
                <w:iCs/>
                <w:sz w:val="20"/>
                <w:szCs w:val="18"/>
              </w:rPr>
              <w:t>del Cuarto Distrito Judicial del Estado</w:t>
            </w:r>
          </w:p>
        </w:tc>
      </w:tr>
      <w:tr w:rsidR="0085728A" w:rsidRPr="000F72BF" w:rsidTr="008B00D0">
        <w:trPr>
          <w:trHeight w:val="251"/>
          <w:jc w:val="center"/>
        </w:trPr>
        <w:tc>
          <w:tcPr>
            <w:tcW w:w="4673" w:type="dxa"/>
            <w:shd w:val="clear" w:color="auto" w:fill="D9D9D9" w:themeFill="background1" w:themeFillShade="D9"/>
          </w:tcPr>
          <w:p w:rsidR="0085728A" w:rsidRPr="000F72BF" w:rsidRDefault="0085728A" w:rsidP="008B00D0">
            <w:pPr>
              <w:jc w:val="both"/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Cs/>
                <w:iCs/>
                <w:color w:val="000000"/>
                <w:sz w:val="20"/>
                <w:szCs w:val="18"/>
              </w:rPr>
              <w:t>Total</w:t>
            </w:r>
          </w:p>
        </w:tc>
        <w:tc>
          <w:tcPr>
            <w:tcW w:w="3135" w:type="dxa"/>
            <w:shd w:val="clear" w:color="auto" w:fill="D9D9D9" w:themeFill="background1" w:themeFillShade="D9"/>
          </w:tcPr>
          <w:p w:rsidR="0085728A" w:rsidRPr="000F72BF" w:rsidRDefault="006552B6" w:rsidP="008B00D0">
            <w:pPr>
              <w:jc w:val="center"/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</w:pPr>
            <w:r w:rsidRPr="000F72BF">
              <w:rPr>
                <w:rFonts w:ascii="Calibri" w:eastAsia="Times New Roman" w:hAnsi="Calibri" w:cs="Calibri"/>
                <w:b/>
                <w:bCs/>
                <w:iCs/>
                <w:sz w:val="20"/>
                <w:szCs w:val="18"/>
              </w:rPr>
              <w:t>1</w:t>
            </w:r>
          </w:p>
        </w:tc>
      </w:tr>
    </w:tbl>
    <w:p w:rsidR="0085728A" w:rsidRPr="000F72BF" w:rsidRDefault="0085728A" w:rsidP="00230EE7">
      <w:pPr>
        <w:jc w:val="both"/>
        <w:rPr>
          <w:rFonts w:ascii="Arial" w:eastAsia="Times New Roman" w:hAnsi="Arial" w:cs="Arial"/>
          <w:b/>
          <w:bCs/>
          <w:color w:val="2F2F2F"/>
          <w:sz w:val="22"/>
          <w:szCs w:val="22"/>
        </w:rPr>
      </w:pPr>
    </w:p>
    <w:p w:rsidR="0085728A" w:rsidRPr="000F72BF" w:rsidRDefault="0085728A" w:rsidP="000E4D55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230EE7" w:rsidRPr="000F72BF" w:rsidRDefault="00230EE7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SEGUNDA. </w:t>
      </w:r>
      <w:r w:rsidR="0085728A" w:rsidRPr="000F72BF">
        <w:rPr>
          <w:rFonts w:ascii="Arial" w:eastAsia="Times New Roman" w:hAnsi="Arial" w:cs="Arial"/>
          <w:b/>
          <w:bCs/>
          <w:sz w:val="22"/>
          <w:szCs w:val="22"/>
        </w:rPr>
        <w:t>Participantes.</w:t>
      </w:r>
    </w:p>
    <w:p w:rsidR="00230EE7" w:rsidRPr="000F72BF" w:rsidRDefault="00230EE7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230EE7" w:rsidRPr="000F72BF" w:rsidRDefault="0085728A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</w:rPr>
        <w:t>Podrá participar en el Proceso de Cambio de Adscripción, la o el Juez de Primera Instancia de los cinco distritos judiciales del Poder Judicial del Estado, con nombramiento definitivo.</w:t>
      </w:r>
    </w:p>
    <w:p w:rsidR="00E5484D" w:rsidRPr="000F72BF" w:rsidRDefault="00E5484D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6B1844" w:rsidRPr="000F72BF" w:rsidRDefault="00A0299E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TERCERA</w:t>
      </w:r>
      <w:r w:rsidR="00E5484D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. </w:t>
      </w:r>
      <w:r w:rsidR="007505F3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Inscripción al </w:t>
      </w:r>
      <w:r w:rsidR="006B1844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proceso de </w:t>
      </w:r>
      <w:r w:rsidR="0085728A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cambio de adscripción</w:t>
      </w:r>
      <w:r w:rsidR="007505F3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. </w:t>
      </w:r>
    </w:p>
    <w:p w:rsidR="006B1844" w:rsidRPr="000F72BF" w:rsidRDefault="006B1844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</w:p>
    <w:p w:rsidR="00230EE7" w:rsidRPr="000F72BF" w:rsidRDefault="00230EE7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>Los días</w:t>
      </w:r>
      <w:r w:rsidR="007505F3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de </w:t>
      </w:r>
      <w:r w:rsidR="0085728A" w:rsidRPr="000F72BF">
        <w:rPr>
          <w:rFonts w:ascii="Arial" w:eastAsia="Times New Roman" w:hAnsi="Arial" w:cs="Arial"/>
          <w:sz w:val="22"/>
          <w:szCs w:val="22"/>
          <w:lang w:val="es-ES"/>
        </w:rPr>
        <w:t>presentación de las solicitudes</w:t>
      </w:r>
      <w:r w:rsidR="007505F3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será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n </w:t>
      </w:r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desde </w:t>
      </w:r>
      <w:r w:rsidR="00E07E9F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el primer minuto del día </w:t>
      </w:r>
      <w:r w:rsidR="00A6718D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19 de noviembre</w:t>
      </w:r>
      <w:r w:rsidR="00E07E9F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del año en curso hasta las 23:59 </w:t>
      </w:r>
      <w:r w:rsidR="00B23B18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horas</w:t>
      </w:r>
      <w:r w:rsidR="00985BF5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del día </w:t>
      </w:r>
      <w:r w:rsidR="00A6718D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20 de noviembre</w:t>
      </w:r>
      <w:r w:rsidR="00A563DA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del año</w:t>
      </w:r>
      <w:r w:rsidR="00E07E9F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en </w:t>
      </w:r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curso</w:t>
      </w:r>
      <w:r w:rsidR="007505F3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,</w:t>
      </w:r>
      <w:r w:rsidR="00737103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mediante mensaje dirigido al siguiente correo electrónico: </w:t>
      </w:r>
      <w:r w:rsidR="008B136E" w:rsidRPr="000F72BF">
        <w:rPr>
          <w:rFonts w:ascii="Arial" w:hAnsi="Arial" w:cs="Arial"/>
          <w:sz w:val="22"/>
          <w:szCs w:val="22"/>
        </w:rPr>
        <w:t>cjcam.sejec.c</w:t>
      </w:r>
      <w:r w:rsidR="009654B5" w:rsidRPr="000F72BF">
        <w:rPr>
          <w:rFonts w:ascii="Arial" w:hAnsi="Arial" w:cs="Arial"/>
          <w:sz w:val="22"/>
          <w:szCs w:val="22"/>
        </w:rPr>
        <w:t>car</w:t>
      </w:r>
      <w:r w:rsidR="008B136E" w:rsidRPr="000F72BF">
        <w:rPr>
          <w:rFonts w:ascii="Arial" w:hAnsi="Arial" w:cs="Arial"/>
          <w:sz w:val="22"/>
          <w:szCs w:val="22"/>
        </w:rPr>
        <w:t>@hotmail.com</w:t>
      </w:r>
    </w:p>
    <w:p w:rsidR="00A737D9" w:rsidRPr="000F72BF" w:rsidRDefault="00A737D9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230EE7" w:rsidRPr="000F72BF" w:rsidRDefault="00230EE7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>Al correo electrónico deberá acompañarse l</w:t>
      </w:r>
      <w:r w:rsidR="00794515" w:rsidRPr="000F72BF">
        <w:rPr>
          <w:rFonts w:ascii="Arial" w:eastAsia="Times New Roman" w:hAnsi="Arial" w:cs="Arial"/>
          <w:sz w:val="22"/>
          <w:szCs w:val="22"/>
          <w:lang w:val="es-ES"/>
        </w:rPr>
        <w:t>a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siguiente documentación</w:t>
      </w:r>
      <w:r w:rsidR="00B21700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424E2F" w:rsidRPr="000F72BF">
        <w:rPr>
          <w:rFonts w:ascii="Arial" w:eastAsia="Times New Roman" w:hAnsi="Arial" w:cs="Arial"/>
          <w:bCs/>
          <w:sz w:val="22"/>
          <w:szCs w:val="22"/>
          <w:lang w:val="es-ES"/>
        </w:rPr>
        <w:t>en formato PDF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>:</w:t>
      </w:r>
    </w:p>
    <w:p w:rsidR="007505F3" w:rsidRPr="000F72BF" w:rsidRDefault="007505F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A737D9" w:rsidRPr="000F72BF" w:rsidRDefault="00E079B8" w:rsidP="00C80413">
      <w:pPr>
        <w:numPr>
          <w:ilvl w:val="0"/>
          <w:numId w:val="10"/>
        </w:numPr>
        <w:spacing w:line="276" w:lineRule="auto"/>
        <w:ind w:left="1134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>Escrito de solicitud de cambio de adscripción dirigido al Consejo de la Judicatura Local;</w:t>
      </w:r>
    </w:p>
    <w:p w:rsidR="004F0B57" w:rsidRPr="000F72BF" w:rsidRDefault="004F0B57" w:rsidP="00C80413">
      <w:pPr>
        <w:numPr>
          <w:ilvl w:val="0"/>
          <w:numId w:val="10"/>
        </w:numPr>
        <w:spacing w:line="276" w:lineRule="auto"/>
        <w:ind w:left="1134"/>
        <w:jc w:val="both"/>
        <w:rPr>
          <w:rFonts w:ascii="Arial" w:eastAsia="Times New Roman" w:hAnsi="Arial" w:cs="Arial"/>
          <w:bCs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bCs/>
          <w:sz w:val="22"/>
          <w:szCs w:val="22"/>
          <w:lang w:val="es-ES"/>
        </w:rPr>
        <w:t xml:space="preserve">Escrito bajo protesta de decir verdad </w:t>
      </w:r>
      <w:r w:rsidR="00E079B8" w:rsidRPr="000F72BF">
        <w:rPr>
          <w:rFonts w:ascii="Arial" w:eastAsia="Times New Roman" w:hAnsi="Arial" w:cs="Arial"/>
          <w:bCs/>
          <w:sz w:val="22"/>
          <w:szCs w:val="22"/>
          <w:lang w:val="es-ES"/>
        </w:rPr>
        <w:t>de las razones de la solicitud del cambio de adscripción;</w:t>
      </w:r>
    </w:p>
    <w:p w:rsidR="00B43774" w:rsidRPr="000F72BF" w:rsidRDefault="004F0B57" w:rsidP="00C80413">
      <w:pPr>
        <w:numPr>
          <w:ilvl w:val="0"/>
          <w:numId w:val="10"/>
        </w:numPr>
        <w:spacing w:line="276" w:lineRule="auto"/>
        <w:ind w:left="1134"/>
        <w:jc w:val="both"/>
        <w:rPr>
          <w:rFonts w:ascii="Arial" w:hAnsi="Arial" w:cs="Arial"/>
          <w:bCs/>
          <w:sz w:val="22"/>
          <w:szCs w:val="22"/>
          <w:lang w:val="es-ES"/>
        </w:rPr>
      </w:pPr>
      <w:r w:rsidRPr="000F72BF">
        <w:rPr>
          <w:rFonts w:ascii="Arial" w:hAnsi="Arial" w:cs="Arial"/>
          <w:bCs/>
          <w:sz w:val="22"/>
          <w:szCs w:val="22"/>
          <w:lang w:val="es-ES"/>
        </w:rPr>
        <w:t>Escrito donde informe, bajo protesta de decir verdad, todas las re</w:t>
      </w:r>
      <w:r w:rsidR="000F72C2" w:rsidRPr="000F72BF">
        <w:rPr>
          <w:rFonts w:ascii="Arial" w:hAnsi="Arial" w:cs="Arial"/>
          <w:bCs/>
          <w:sz w:val="22"/>
          <w:szCs w:val="22"/>
          <w:lang w:val="es-ES"/>
        </w:rPr>
        <w:t>laciones de parentesco dentro</w:t>
      </w:r>
      <w:r w:rsidRPr="000F72BF">
        <w:rPr>
          <w:rFonts w:ascii="Arial" w:hAnsi="Arial" w:cs="Arial"/>
          <w:bCs/>
          <w:sz w:val="22"/>
          <w:szCs w:val="22"/>
          <w:lang w:val="es-ES"/>
        </w:rPr>
        <w:t xml:space="preserve"> </w:t>
      </w:r>
      <w:r w:rsidR="000F72C2" w:rsidRPr="000F72BF">
        <w:rPr>
          <w:rFonts w:ascii="Arial" w:hAnsi="Arial" w:cs="Arial"/>
          <w:bCs/>
          <w:sz w:val="22"/>
          <w:szCs w:val="22"/>
          <w:lang w:val="es-ES"/>
        </w:rPr>
        <w:t>d</w:t>
      </w:r>
      <w:r w:rsidRPr="000F72BF">
        <w:rPr>
          <w:rFonts w:ascii="Arial" w:hAnsi="Arial" w:cs="Arial"/>
          <w:bCs/>
          <w:sz w:val="22"/>
          <w:szCs w:val="22"/>
          <w:lang w:val="es-ES"/>
        </w:rPr>
        <w:t xml:space="preserve">el </w:t>
      </w:r>
      <w:r w:rsidR="00E079B8" w:rsidRPr="000F72BF">
        <w:rPr>
          <w:rFonts w:ascii="Arial" w:hAnsi="Arial" w:cs="Arial"/>
          <w:bCs/>
          <w:sz w:val="22"/>
          <w:szCs w:val="22"/>
          <w:lang w:val="es-ES"/>
        </w:rPr>
        <w:t>cuarto</w:t>
      </w:r>
      <w:r w:rsidRPr="000F72BF">
        <w:rPr>
          <w:rFonts w:ascii="Arial" w:hAnsi="Arial" w:cs="Arial"/>
          <w:bCs/>
          <w:sz w:val="22"/>
          <w:szCs w:val="22"/>
          <w:lang w:val="es-ES"/>
        </w:rPr>
        <w:t xml:space="preserve"> grado, </w:t>
      </w:r>
      <w:r w:rsidR="000F72C2" w:rsidRPr="000F72BF">
        <w:rPr>
          <w:rFonts w:ascii="Arial" w:hAnsi="Arial" w:cs="Arial"/>
          <w:bCs/>
          <w:sz w:val="22"/>
          <w:szCs w:val="22"/>
          <w:lang w:val="es-ES"/>
        </w:rPr>
        <w:t xml:space="preserve">por afinidad y consanguinidad, </w:t>
      </w:r>
      <w:r w:rsidRPr="000F72BF">
        <w:rPr>
          <w:rFonts w:ascii="Arial" w:hAnsi="Arial" w:cs="Arial"/>
          <w:bCs/>
          <w:sz w:val="22"/>
          <w:szCs w:val="22"/>
          <w:lang w:val="es-ES"/>
        </w:rPr>
        <w:t xml:space="preserve">que tiene con servidores públicos </w:t>
      </w:r>
      <w:r w:rsidR="000F72C2" w:rsidRPr="000F72BF">
        <w:rPr>
          <w:rFonts w:ascii="Arial" w:hAnsi="Arial" w:cs="Arial"/>
          <w:bCs/>
          <w:sz w:val="22"/>
          <w:szCs w:val="22"/>
          <w:lang w:val="es-ES"/>
        </w:rPr>
        <w:t xml:space="preserve">que laboren dentro </w:t>
      </w:r>
      <w:r w:rsidRPr="000F72BF">
        <w:rPr>
          <w:rFonts w:ascii="Arial" w:hAnsi="Arial" w:cs="Arial"/>
          <w:bCs/>
          <w:sz w:val="22"/>
          <w:szCs w:val="22"/>
          <w:lang w:val="es-ES"/>
        </w:rPr>
        <w:t>del Poder Judicial del Estado de Campeche</w:t>
      </w:r>
      <w:r w:rsidR="00E079B8" w:rsidRPr="000F72BF">
        <w:rPr>
          <w:rFonts w:ascii="Arial" w:hAnsi="Arial" w:cs="Arial"/>
          <w:bCs/>
          <w:sz w:val="22"/>
          <w:szCs w:val="22"/>
          <w:lang w:val="es-ES"/>
        </w:rPr>
        <w:t>, así como las relaciones que generen vínculos análogos</w:t>
      </w:r>
      <w:r w:rsidRPr="000F72BF">
        <w:rPr>
          <w:rFonts w:ascii="Arial" w:hAnsi="Arial" w:cs="Arial"/>
          <w:bCs/>
          <w:sz w:val="22"/>
          <w:szCs w:val="22"/>
          <w:lang w:val="es-ES"/>
        </w:rPr>
        <w:t>; y</w:t>
      </w:r>
    </w:p>
    <w:p w:rsidR="00E079B8" w:rsidRPr="000F72BF" w:rsidRDefault="00E079B8" w:rsidP="00C80413">
      <w:pPr>
        <w:numPr>
          <w:ilvl w:val="0"/>
          <w:numId w:val="10"/>
        </w:numPr>
        <w:spacing w:line="276" w:lineRule="auto"/>
        <w:ind w:left="1134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>Documento donde acredite una antigüedad mínima de dos años en el órgano jurisdiccional al que se encuentra adscrito.</w:t>
      </w:r>
    </w:p>
    <w:p w:rsidR="004F0B57" w:rsidRPr="000F72BF" w:rsidRDefault="004F0B57" w:rsidP="00C80413">
      <w:pPr>
        <w:spacing w:line="276" w:lineRule="auto"/>
        <w:ind w:left="2781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B06D22" w:rsidRPr="000F72BF" w:rsidRDefault="00A15BC4" w:rsidP="00C804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2BF">
        <w:rPr>
          <w:rFonts w:ascii="Arial" w:hAnsi="Arial" w:cs="Arial"/>
          <w:sz w:val="22"/>
          <w:szCs w:val="22"/>
        </w:rPr>
        <w:t xml:space="preserve">No se admitirá ninguna otra forma de </w:t>
      </w:r>
      <w:r w:rsidR="00E079B8" w:rsidRPr="000F72BF">
        <w:rPr>
          <w:rFonts w:ascii="Arial" w:hAnsi="Arial" w:cs="Arial"/>
          <w:sz w:val="22"/>
          <w:szCs w:val="22"/>
        </w:rPr>
        <w:t>solicitud</w:t>
      </w:r>
      <w:r w:rsidRPr="000F72BF">
        <w:rPr>
          <w:rFonts w:ascii="Arial" w:hAnsi="Arial" w:cs="Arial"/>
          <w:sz w:val="22"/>
          <w:szCs w:val="22"/>
        </w:rPr>
        <w:t xml:space="preserve"> que la descrita en esta Base.</w:t>
      </w:r>
    </w:p>
    <w:p w:rsidR="00B06D22" w:rsidRPr="000F72BF" w:rsidRDefault="00B06D22" w:rsidP="00C804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B06D22" w:rsidRPr="000F72BF" w:rsidRDefault="00B06D22" w:rsidP="00C804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1" w:name="_Hlk43275134"/>
      <w:r w:rsidRPr="000F72BF">
        <w:rPr>
          <w:rFonts w:ascii="Arial" w:hAnsi="Arial" w:cs="Arial"/>
          <w:sz w:val="22"/>
          <w:szCs w:val="22"/>
        </w:rPr>
        <w:lastRenderedPageBreak/>
        <w:t xml:space="preserve">La presentación de la documentación anterior es improrrogable e inexcusable. La falta de al menos uno de los aspectos de la documentación, es causa definitiva para tener por no formalizada la </w:t>
      </w:r>
      <w:r w:rsidR="00E079B8" w:rsidRPr="000F72BF">
        <w:rPr>
          <w:rFonts w:ascii="Arial" w:hAnsi="Arial" w:cs="Arial"/>
          <w:sz w:val="22"/>
          <w:szCs w:val="22"/>
        </w:rPr>
        <w:t>solicitud</w:t>
      </w:r>
      <w:r w:rsidRPr="000F72BF">
        <w:rPr>
          <w:rFonts w:ascii="Arial" w:hAnsi="Arial" w:cs="Arial"/>
          <w:sz w:val="22"/>
          <w:szCs w:val="22"/>
        </w:rPr>
        <w:t xml:space="preserve">. </w:t>
      </w:r>
    </w:p>
    <w:p w:rsidR="00E079B8" w:rsidRPr="000F72BF" w:rsidRDefault="00E079B8" w:rsidP="00C80413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E079B8" w:rsidRPr="000F72BF" w:rsidRDefault="00E079B8" w:rsidP="00C8041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F72BF">
        <w:rPr>
          <w:rFonts w:ascii="Arial" w:hAnsi="Arial" w:cs="Arial"/>
          <w:sz w:val="22"/>
          <w:szCs w:val="22"/>
        </w:rPr>
        <w:t xml:space="preserve">El solicitante deberá </w:t>
      </w:r>
      <w:r w:rsidR="008B3320" w:rsidRPr="000F72BF">
        <w:rPr>
          <w:rFonts w:ascii="Arial" w:hAnsi="Arial" w:cs="Arial"/>
          <w:sz w:val="22"/>
          <w:szCs w:val="22"/>
        </w:rPr>
        <w:t>presentara la Comisión de Adscripción</w:t>
      </w:r>
      <w:r w:rsidRPr="000F72BF">
        <w:rPr>
          <w:rFonts w:ascii="Arial" w:hAnsi="Arial" w:cs="Arial"/>
          <w:sz w:val="22"/>
          <w:szCs w:val="22"/>
        </w:rPr>
        <w:t xml:space="preserve"> los originales a que se refiere la docu</w:t>
      </w:r>
      <w:r w:rsidR="008B3320" w:rsidRPr="000F72BF">
        <w:rPr>
          <w:rFonts w:ascii="Arial" w:hAnsi="Arial" w:cs="Arial"/>
          <w:sz w:val="22"/>
          <w:szCs w:val="22"/>
        </w:rPr>
        <w:t>mentación señalada líneas arriba, el día de la celebración de la entrevista correspondiente</w:t>
      </w:r>
      <w:r w:rsidRPr="000F72BF">
        <w:rPr>
          <w:rFonts w:ascii="Arial" w:hAnsi="Arial" w:cs="Arial"/>
          <w:sz w:val="22"/>
          <w:szCs w:val="22"/>
        </w:rPr>
        <w:t>.</w:t>
      </w:r>
    </w:p>
    <w:bookmarkEnd w:id="1"/>
    <w:p w:rsidR="00B06D22" w:rsidRPr="000F72BF" w:rsidRDefault="00B06D22" w:rsidP="00C80413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:rsidR="002F2192" w:rsidRPr="000F72BF" w:rsidRDefault="00A0299E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CUARTA</w:t>
      </w:r>
      <w:r w:rsidR="002F2192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6B1844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Constancia de recepción. </w:t>
      </w:r>
    </w:p>
    <w:p w:rsidR="006B1844" w:rsidRPr="000F72BF" w:rsidRDefault="006B1844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985BF5" w:rsidRPr="000F72BF" w:rsidRDefault="00985BF5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</w:rPr>
        <w:t xml:space="preserve">Recibida la solicitud, en un </w:t>
      </w:r>
      <w:r w:rsidR="00044CB0" w:rsidRPr="000F72BF">
        <w:rPr>
          <w:rFonts w:ascii="Arial" w:eastAsia="Times New Roman" w:hAnsi="Arial" w:cs="Arial"/>
          <w:sz w:val="22"/>
          <w:szCs w:val="22"/>
        </w:rPr>
        <w:t xml:space="preserve">plazo de veinticuatro horas, la Secretaría Ejecutiva </w:t>
      </w:r>
      <w:r w:rsidRPr="000F72BF">
        <w:rPr>
          <w:rFonts w:ascii="Arial" w:eastAsia="Times New Roman" w:hAnsi="Arial" w:cs="Arial"/>
          <w:sz w:val="22"/>
          <w:szCs w:val="22"/>
        </w:rPr>
        <w:t xml:space="preserve">remitirá al correo electrónico utilizado por el </w:t>
      </w:r>
      <w:r w:rsidR="00044CB0" w:rsidRPr="000F72BF">
        <w:rPr>
          <w:rFonts w:ascii="Arial" w:eastAsia="Times New Roman" w:hAnsi="Arial" w:cs="Arial"/>
          <w:sz w:val="22"/>
          <w:szCs w:val="22"/>
        </w:rPr>
        <w:t>solicitante</w:t>
      </w:r>
      <w:r w:rsidRPr="000F72BF">
        <w:rPr>
          <w:rFonts w:ascii="Arial" w:eastAsia="Times New Roman" w:hAnsi="Arial" w:cs="Arial"/>
          <w:sz w:val="22"/>
          <w:szCs w:val="22"/>
        </w:rPr>
        <w:t xml:space="preserve">, </w:t>
      </w:r>
      <w:r w:rsidR="00044CB0" w:rsidRPr="000F72BF">
        <w:rPr>
          <w:rFonts w:ascii="Arial" w:eastAsia="Times New Roman" w:hAnsi="Arial" w:cs="Arial"/>
          <w:sz w:val="22"/>
          <w:szCs w:val="22"/>
        </w:rPr>
        <w:t xml:space="preserve">el acuse correspondiente </w:t>
      </w:r>
      <w:r w:rsidR="008B136E" w:rsidRPr="000F72BF">
        <w:rPr>
          <w:rFonts w:ascii="Arial" w:eastAsia="Times New Roman" w:hAnsi="Arial" w:cs="Arial"/>
          <w:sz w:val="22"/>
          <w:szCs w:val="22"/>
        </w:rPr>
        <w:t>de</w:t>
      </w:r>
      <w:r w:rsidR="00044CB0" w:rsidRPr="000F72BF">
        <w:rPr>
          <w:rFonts w:ascii="Arial" w:eastAsia="Times New Roman" w:hAnsi="Arial" w:cs="Arial"/>
          <w:sz w:val="22"/>
          <w:szCs w:val="22"/>
        </w:rPr>
        <w:t xml:space="preserve"> su solicitud</w:t>
      </w:r>
      <w:r w:rsidRPr="000F72BF">
        <w:rPr>
          <w:rFonts w:ascii="Arial" w:eastAsia="Times New Roman" w:hAnsi="Arial" w:cs="Arial"/>
          <w:sz w:val="22"/>
          <w:szCs w:val="22"/>
        </w:rPr>
        <w:t>.</w:t>
      </w:r>
    </w:p>
    <w:p w:rsidR="00505ACB" w:rsidRPr="000F72BF" w:rsidRDefault="00505ACB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C80413" w:rsidRPr="000F72BF" w:rsidRDefault="00EE65F8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bookmarkStart w:id="2" w:name="_Hlk42853589"/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QUINTA</w:t>
      </w:r>
      <w:r w:rsidR="00C80413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. Criterios de evaluación.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bCs/>
          <w:sz w:val="22"/>
          <w:szCs w:val="22"/>
          <w:lang w:val="es-MX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La evaluación será acorde a lo siguiente:  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</w:p>
    <w:p w:rsidR="00C80413" w:rsidRPr="000F72BF" w:rsidRDefault="00C80413" w:rsidP="00C80413">
      <w:pPr>
        <w:spacing w:after="101"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I. Los cursos de enseñanza y capacitación que se hayan realizado en la Escuela Judicial del Estado y en el Centro de Capacitación y Actualización del Poder Judici</w:t>
      </w:r>
      <w:r w:rsidR="006552B6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al del Estado, hasta 20 puntos, de acuerdo a lo siguiente:</w:t>
      </w: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672"/>
        <w:gridCol w:w="3557"/>
      </w:tblGrid>
      <w:tr w:rsidR="00C80413" w:rsidRPr="000F72BF" w:rsidTr="00EC14A6">
        <w:tc>
          <w:tcPr>
            <w:tcW w:w="3672" w:type="dxa"/>
          </w:tcPr>
          <w:p w:rsidR="00C80413" w:rsidRPr="000F72BF" w:rsidRDefault="00C80413" w:rsidP="006552B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Diplomados relativos al área donde solicita </w:t>
            </w:r>
            <w:r w:rsidR="006552B6" w:rsidRPr="000F72BF">
              <w:rPr>
                <w:rFonts w:cs="Arial"/>
                <w:bCs/>
                <w:sz w:val="20"/>
                <w:szCs w:val="20"/>
                <w:lang w:val="es-ES"/>
              </w:rPr>
              <w:t>el cambio de adscripción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 y a la impartición de justicia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10 puntos</w:t>
            </w:r>
          </w:p>
        </w:tc>
      </w:tr>
      <w:tr w:rsidR="00C80413" w:rsidRPr="000F72BF" w:rsidTr="00EC14A6">
        <w:tc>
          <w:tcPr>
            <w:tcW w:w="3672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Cursos Especializados relativo al área donde solicita </w:t>
            </w:r>
            <w:r w:rsidR="006552B6"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el cambio de adscripción 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y a la impartición de justicia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8  puntos</w:t>
            </w:r>
          </w:p>
        </w:tc>
      </w:tr>
      <w:tr w:rsidR="00C80413" w:rsidRPr="000F72BF" w:rsidTr="00EC14A6">
        <w:tc>
          <w:tcPr>
            <w:tcW w:w="3672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Cursos relativo al área donde solicita </w:t>
            </w:r>
            <w:r w:rsidR="006552B6"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el cambio de adscripción 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y a la impartición de justicia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</w:tbl>
    <w:p w:rsidR="00C80413" w:rsidRPr="000F72BF" w:rsidRDefault="00C80413" w:rsidP="00C80413">
      <w:pPr>
        <w:spacing w:after="101" w:line="360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</w:p>
    <w:p w:rsidR="006552B6" w:rsidRPr="000F72BF" w:rsidRDefault="006552B6" w:rsidP="00C80413">
      <w:pPr>
        <w:spacing w:after="101" w:line="360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Los </w:t>
      </w:r>
      <w:r w:rsidR="000F72C2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cuáles</w:t>
      </w: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 </w:t>
      </w:r>
      <w:r w:rsidR="000F72C2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serán</w:t>
      </w: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 acumulativos.</w:t>
      </w:r>
    </w:p>
    <w:p w:rsidR="00C80413" w:rsidRPr="000F72BF" w:rsidRDefault="00C80413" w:rsidP="00C80413">
      <w:pPr>
        <w:spacing w:after="101"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II. La antigüedad en el Poder Judicial del Estado, realizado a través del análisis de la hoja de vida </w:t>
      </w:r>
      <w:r w:rsidR="00EB452D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del expediente personal emitida</w:t>
      </w: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 por la Dirección de Recursos Humanos, hasta 15 puntos. </w:t>
      </w:r>
      <w:r w:rsidR="004214A6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Se asignará 1 punto, por cada año, sin exceder el máximo. </w:t>
      </w: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Los años se considerarán años calendario y los meses y días que acredite el participante se valorarán en forma </w:t>
      </w:r>
      <w:r w:rsidR="00EE65F8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íntegra</w:t>
      </w: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 xml:space="preserve"> y proporcional a la puntuación que corresponda.</w:t>
      </w:r>
    </w:p>
    <w:p w:rsidR="00C80413" w:rsidRPr="000F72BF" w:rsidRDefault="00C80413" w:rsidP="00C80413">
      <w:pPr>
        <w:pStyle w:val="Estilo"/>
        <w:spacing w:line="276" w:lineRule="auto"/>
        <w:rPr>
          <w:rFonts w:cs="Arial"/>
          <w:bCs/>
          <w:sz w:val="22"/>
          <w:lang w:val="es-ES"/>
        </w:rPr>
      </w:pPr>
      <w:r w:rsidRPr="000F72BF">
        <w:rPr>
          <w:rFonts w:cs="Arial"/>
          <w:bCs/>
          <w:sz w:val="22"/>
          <w:lang w:val="es-ES"/>
        </w:rPr>
        <w:t xml:space="preserve">III. El grado académico </w:t>
      </w:r>
      <w:r w:rsidR="00EB452D" w:rsidRPr="000F72BF">
        <w:rPr>
          <w:rFonts w:cs="Arial"/>
          <w:bCs/>
          <w:sz w:val="22"/>
          <w:lang w:val="es-ES"/>
        </w:rPr>
        <w:t>en alguna de las ramas del Derecho, pertenecientes al área de las Ciencias Sociales; que comprenden el nivel de estudios con que cuente el servidor público,</w:t>
      </w:r>
      <w:r w:rsidRPr="000F72BF">
        <w:rPr>
          <w:rFonts w:cs="Arial"/>
          <w:bCs/>
          <w:sz w:val="22"/>
          <w:lang w:val="es-ES"/>
        </w:rPr>
        <w:t xml:space="preserve"> acreditados de manera fehaciente, hasta 15 puntos, conforme a lo siguiente:</w:t>
      </w:r>
    </w:p>
    <w:p w:rsidR="00C80413" w:rsidRPr="000F72BF" w:rsidRDefault="00C80413" w:rsidP="00C80413">
      <w:pPr>
        <w:pStyle w:val="Estilo"/>
        <w:spacing w:line="360" w:lineRule="auto"/>
        <w:rPr>
          <w:rFonts w:cs="Arial"/>
          <w:bCs/>
          <w:sz w:val="22"/>
          <w:lang w:val="es-ES"/>
        </w:rPr>
      </w:pPr>
    </w:p>
    <w:tbl>
      <w:tblPr>
        <w:tblStyle w:val="Tablaconcuadrcula"/>
        <w:tblW w:w="0" w:type="auto"/>
        <w:tblInd w:w="817" w:type="dxa"/>
        <w:tblLook w:val="04A0" w:firstRow="1" w:lastRow="0" w:firstColumn="1" w:lastColumn="0" w:noHBand="0" w:noVBand="1"/>
      </w:tblPr>
      <w:tblGrid>
        <w:gridCol w:w="3672"/>
        <w:gridCol w:w="3557"/>
      </w:tblGrid>
      <w:tr w:rsidR="00C80413" w:rsidRPr="000F72BF" w:rsidTr="00EC14A6">
        <w:tc>
          <w:tcPr>
            <w:tcW w:w="3672" w:type="dxa"/>
          </w:tcPr>
          <w:p w:rsidR="00C80413" w:rsidRPr="000F72BF" w:rsidRDefault="00C80413" w:rsidP="000F72C2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Doctorado en ramas del derecho con </w:t>
            </w:r>
            <w:r w:rsidR="000F72C2" w:rsidRPr="000F72BF">
              <w:rPr>
                <w:rFonts w:cs="Arial"/>
                <w:bCs/>
                <w:sz w:val="20"/>
                <w:szCs w:val="20"/>
                <w:lang w:val="es-ES"/>
              </w:rPr>
              <w:t>acta de examen aprobatorio o cédula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10 puntos</w:t>
            </w:r>
          </w:p>
        </w:tc>
      </w:tr>
      <w:tr w:rsidR="00C80413" w:rsidRPr="000F72BF" w:rsidTr="00EC14A6">
        <w:tc>
          <w:tcPr>
            <w:tcW w:w="3672" w:type="dxa"/>
          </w:tcPr>
          <w:p w:rsidR="00C80413" w:rsidRPr="000F72BF" w:rsidRDefault="00C80413" w:rsidP="000F72C2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Maestría en ramas del derecho con </w:t>
            </w:r>
            <w:r w:rsidR="000F72C2" w:rsidRPr="000F72BF">
              <w:rPr>
                <w:rFonts w:cs="Arial"/>
                <w:bCs/>
                <w:sz w:val="20"/>
                <w:szCs w:val="20"/>
                <w:lang w:val="es-ES"/>
              </w:rPr>
              <w:t>acta de examen aprobatorio o cédula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8  puntos</w:t>
            </w:r>
          </w:p>
        </w:tc>
      </w:tr>
      <w:tr w:rsidR="00C80413" w:rsidRPr="000F72BF" w:rsidTr="00EC14A6">
        <w:tc>
          <w:tcPr>
            <w:tcW w:w="3672" w:type="dxa"/>
          </w:tcPr>
          <w:p w:rsidR="00C80413" w:rsidRPr="000F72BF" w:rsidRDefault="00C80413" w:rsidP="000F72C2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Especialidad en ramas del derecho con </w:t>
            </w:r>
            <w:r w:rsidR="000F72C2" w:rsidRPr="000F72BF">
              <w:rPr>
                <w:rFonts w:cs="Arial"/>
                <w:bCs/>
                <w:sz w:val="20"/>
                <w:szCs w:val="20"/>
                <w:lang w:val="es-ES"/>
              </w:rPr>
              <w:t>acta de examen aprobatorio o cédula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.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5  puntos</w:t>
            </w:r>
          </w:p>
        </w:tc>
      </w:tr>
      <w:tr w:rsidR="00C80413" w:rsidRPr="000F72BF" w:rsidTr="00EC14A6">
        <w:tc>
          <w:tcPr>
            <w:tcW w:w="3672" w:type="dxa"/>
          </w:tcPr>
          <w:p w:rsidR="00C80413" w:rsidRPr="000F72BF" w:rsidRDefault="00C80413" w:rsidP="000F72C2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Especialidad, Maestría o Doctorado en 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lastRenderedPageBreak/>
              <w:t>r</w:t>
            </w:r>
            <w:r w:rsidR="000F72C2" w:rsidRPr="000F72BF">
              <w:rPr>
                <w:rFonts w:cs="Arial"/>
                <w:bCs/>
                <w:sz w:val="20"/>
                <w:szCs w:val="20"/>
                <w:lang w:val="es-ES"/>
              </w:rPr>
              <w:t>amas del derecho, sin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 acta de examen aprobatorio</w:t>
            </w:r>
            <w:r w:rsidR="000F72C2"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 y sin cédula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, con constanc</w:t>
            </w:r>
            <w:r w:rsidR="00CC2C48" w:rsidRPr="000F72BF">
              <w:rPr>
                <w:rFonts w:cs="Arial"/>
                <w:bCs/>
                <w:sz w:val="20"/>
                <w:szCs w:val="20"/>
                <w:lang w:val="es-ES"/>
              </w:rPr>
              <w:t xml:space="preserve">ia de estudios concluidos y </w:t>
            </w: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t>reconocimiento de validez oficial debidamente acreditado.</w:t>
            </w:r>
          </w:p>
        </w:tc>
        <w:tc>
          <w:tcPr>
            <w:tcW w:w="3557" w:type="dxa"/>
          </w:tcPr>
          <w:p w:rsidR="00C80413" w:rsidRPr="000F72BF" w:rsidRDefault="00C80413" w:rsidP="00EC14A6">
            <w:pPr>
              <w:pStyle w:val="Estilo"/>
              <w:spacing w:line="360" w:lineRule="auto"/>
              <w:rPr>
                <w:rFonts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cs="Arial"/>
                <w:bCs/>
                <w:sz w:val="20"/>
                <w:szCs w:val="20"/>
                <w:lang w:val="es-ES"/>
              </w:rPr>
              <w:lastRenderedPageBreak/>
              <w:t>2 puntos</w:t>
            </w:r>
          </w:p>
        </w:tc>
      </w:tr>
    </w:tbl>
    <w:p w:rsidR="00C80413" w:rsidRPr="000F72BF" w:rsidRDefault="00C80413" w:rsidP="00C80413">
      <w:pPr>
        <w:pStyle w:val="Estilo"/>
        <w:spacing w:line="360" w:lineRule="auto"/>
        <w:rPr>
          <w:rFonts w:cs="Arial"/>
          <w:bCs/>
          <w:sz w:val="22"/>
          <w:lang w:val="es-ES"/>
        </w:rPr>
      </w:pPr>
    </w:p>
    <w:p w:rsidR="00C80413" w:rsidRPr="000F72BF" w:rsidRDefault="006552B6" w:rsidP="00C80413">
      <w:pPr>
        <w:pStyle w:val="Estilo"/>
        <w:spacing w:line="360" w:lineRule="auto"/>
        <w:rPr>
          <w:rFonts w:cs="Arial"/>
          <w:bCs/>
          <w:sz w:val="22"/>
          <w:lang w:val="es-ES"/>
        </w:rPr>
      </w:pPr>
      <w:r w:rsidRPr="000F72BF">
        <w:rPr>
          <w:rFonts w:cs="Arial"/>
          <w:bCs/>
          <w:sz w:val="22"/>
          <w:lang w:val="es-ES"/>
        </w:rPr>
        <w:t xml:space="preserve">Los </w:t>
      </w:r>
      <w:r w:rsidR="00CC2C48" w:rsidRPr="000F72BF">
        <w:rPr>
          <w:rFonts w:cs="Arial"/>
          <w:bCs/>
          <w:sz w:val="22"/>
          <w:lang w:val="es-ES"/>
        </w:rPr>
        <w:t>cuáles</w:t>
      </w:r>
      <w:r w:rsidRPr="000F72BF">
        <w:rPr>
          <w:rFonts w:cs="Arial"/>
          <w:bCs/>
          <w:sz w:val="22"/>
          <w:lang w:val="es-ES"/>
        </w:rPr>
        <w:t xml:space="preserve"> </w:t>
      </w:r>
      <w:r w:rsidR="00CC2C48" w:rsidRPr="000F72BF">
        <w:rPr>
          <w:rFonts w:cs="Arial"/>
          <w:bCs/>
          <w:sz w:val="22"/>
          <w:lang w:val="es-ES"/>
        </w:rPr>
        <w:t>serán</w:t>
      </w:r>
      <w:r w:rsidRPr="000F72BF">
        <w:rPr>
          <w:rFonts w:cs="Arial"/>
          <w:bCs/>
          <w:sz w:val="22"/>
          <w:lang w:val="es-ES"/>
        </w:rPr>
        <w:t xml:space="preserve"> acumulativos.</w:t>
      </w:r>
    </w:p>
    <w:p w:rsidR="006552B6" w:rsidRPr="000F72BF" w:rsidRDefault="006552B6" w:rsidP="00C80413">
      <w:pPr>
        <w:pStyle w:val="Estilo"/>
        <w:spacing w:line="360" w:lineRule="auto"/>
        <w:rPr>
          <w:rFonts w:cs="Arial"/>
          <w:bCs/>
          <w:sz w:val="22"/>
          <w:lang w:val="es-ES"/>
        </w:rPr>
      </w:pPr>
    </w:p>
    <w:p w:rsidR="00C80413" w:rsidRPr="000F72BF" w:rsidRDefault="00CC2C48" w:rsidP="00C80413">
      <w:pPr>
        <w:spacing w:after="101"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I</w:t>
      </w:r>
      <w:r w:rsidR="00C80413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V. Los resultados de las Visitas de Inspección, realizado a través del análisis del informe emitido por Visitaduría Judicial; hasta 25 puntos; y</w:t>
      </w:r>
    </w:p>
    <w:p w:rsidR="00B5535B" w:rsidRPr="000F72BF" w:rsidRDefault="00B5535B" w:rsidP="00C80413">
      <w:pPr>
        <w:spacing w:after="101"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568"/>
        <w:gridCol w:w="3661"/>
      </w:tblGrid>
      <w:tr w:rsidR="00737103" w:rsidRPr="000F72BF" w:rsidTr="005B1BB9">
        <w:tc>
          <w:tcPr>
            <w:tcW w:w="3568" w:type="dxa"/>
          </w:tcPr>
          <w:p w:rsidR="00737103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Productividad</w:t>
            </w:r>
          </w:p>
        </w:tc>
        <w:tc>
          <w:tcPr>
            <w:tcW w:w="3661" w:type="dxa"/>
          </w:tcPr>
          <w:p w:rsidR="00737103" w:rsidRPr="000F72BF" w:rsidRDefault="008E112C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  <w:tr w:rsidR="00737103" w:rsidRPr="000F72BF" w:rsidTr="005B1BB9">
        <w:tc>
          <w:tcPr>
            <w:tcW w:w="3568" w:type="dxa"/>
          </w:tcPr>
          <w:p w:rsidR="00737103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Recomendaciones atendidas</w:t>
            </w:r>
          </w:p>
        </w:tc>
        <w:tc>
          <w:tcPr>
            <w:tcW w:w="3661" w:type="dxa"/>
          </w:tcPr>
          <w:p w:rsidR="00737103" w:rsidRPr="000F72BF" w:rsidRDefault="008E112C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  <w:tr w:rsidR="008E112C" w:rsidRPr="000F72BF" w:rsidTr="005B1BB9">
        <w:tc>
          <w:tcPr>
            <w:tcW w:w="3568" w:type="dxa"/>
          </w:tcPr>
          <w:p w:rsidR="008E112C" w:rsidRPr="000F72BF" w:rsidRDefault="008E112C" w:rsidP="008E112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Orden en los Libros de Control, Expedientes y valores.</w:t>
            </w:r>
          </w:p>
        </w:tc>
        <w:tc>
          <w:tcPr>
            <w:tcW w:w="3661" w:type="dxa"/>
          </w:tcPr>
          <w:p w:rsidR="008E112C" w:rsidRPr="000F72BF" w:rsidRDefault="008E112C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10 puntos</w:t>
            </w:r>
          </w:p>
        </w:tc>
      </w:tr>
      <w:tr w:rsidR="008E112C" w:rsidRPr="000F72BF" w:rsidTr="005B1BB9">
        <w:tc>
          <w:tcPr>
            <w:tcW w:w="3568" w:type="dxa"/>
          </w:tcPr>
          <w:p w:rsidR="008E112C" w:rsidRPr="000F72BF" w:rsidRDefault="008E112C" w:rsidP="008E112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Dictado de acuerdos y sentencias en término</w:t>
            </w:r>
          </w:p>
        </w:tc>
        <w:tc>
          <w:tcPr>
            <w:tcW w:w="3661" w:type="dxa"/>
          </w:tcPr>
          <w:p w:rsidR="008E112C" w:rsidRPr="000F72BF" w:rsidRDefault="008E112C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</w:tbl>
    <w:p w:rsidR="00737103" w:rsidRPr="000F72BF" w:rsidRDefault="00737103" w:rsidP="00C80413">
      <w:pPr>
        <w:spacing w:after="101"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  <w:r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V. La disciplina y el desarrollo profesional, realizado a través del análisis del informe emitido por la Dirección de Recursos Humanos, respecto a quejas, actas administrativas, llamadas de atención, sanciones, asistencia, puntualidad, reconocimientos y pre</w:t>
      </w:r>
      <w:r w:rsidR="006552B6" w:rsidRPr="000F72BF">
        <w:rPr>
          <w:rFonts w:ascii="Arial" w:eastAsiaTheme="minorHAnsi" w:hAnsi="Arial" w:cs="Arial"/>
          <w:bCs/>
          <w:sz w:val="22"/>
          <w:szCs w:val="22"/>
          <w:lang w:val="es-ES" w:eastAsia="en-US"/>
        </w:rPr>
        <w:t>mios recibidos, hasta 25 puntos, conforme a lo siguiente:</w:t>
      </w:r>
    </w:p>
    <w:p w:rsidR="006552B6" w:rsidRPr="000F72BF" w:rsidRDefault="006552B6" w:rsidP="00C80413">
      <w:pPr>
        <w:spacing w:line="276" w:lineRule="auto"/>
        <w:jc w:val="both"/>
        <w:rPr>
          <w:rFonts w:ascii="Arial" w:eastAsiaTheme="minorHAnsi" w:hAnsi="Arial" w:cs="Arial"/>
          <w:bCs/>
          <w:sz w:val="22"/>
          <w:szCs w:val="22"/>
          <w:lang w:val="es-ES" w:eastAsia="en-US"/>
        </w:rPr>
      </w:pPr>
    </w:p>
    <w:tbl>
      <w:tblPr>
        <w:tblStyle w:val="Tablaconcuadrcula"/>
        <w:tblW w:w="0" w:type="auto"/>
        <w:tblInd w:w="846" w:type="dxa"/>
        <w:tblLook w:val="04A0" w:firstRow="1" w:lastRow="0" w:firstColumn="1" w:lastColumn="0" w:noHBand="0" w:noVBand="1"/>
      </w:tblPr>
      <w:tblGrid>
        <w:gridCol w:w="3568"/>
        <w:gridCol w:w="3661"/>
      </w:tblGrid>
      <w:tr w:rsidR="00B5535B" w:rsidRPr="000F72BF" w:rsidTr="00264783">
        <w:tc>
          <w:tcPr>
            <w:tcW w:w="3568" w:type="dxa"/>
          </w:tcPr>
          <w:p w:rsidR="00B5535B" w:rsidRPr="000F72BF" w:rsidRDefault="00B5535B" w:rsidP="00EB60D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Asistencia y puntualidad dentro del periodo del 2018 al 2020</w:t>
            </w:r>
          </w:p>
        </w:tc>
        <w:tc>
          <w:tcPr>
            <w:tcW w:w="3661" w:type="dxa"/>
          </w:tcPr>
          <w:p w:rsidR="00B5535B" w:rsidRPr="000F72BF" w:rsidRDefault="00B5535B" w:rsidP="00EB60D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15 puntos</w:t>
            </w:r>
          </w:p>
        </w:tc>
      </w:tr>
      <w:tr w:rsidR="00B5535B" w:rsidRPr="000F72BF" w:rsidTr="00B5535B">
        <w:tc>
          <w:tcPr>
            <w:tcW w:w="7229" w:type="dxa"/>
            <w:gridSpan w:val="2"/>
            <w:shd w:val="clear" w:color="auto" w:fill="D9D9D9" w:themeFill="background1" w:themeFillShade="D9"/>
          </w:tcPr>
          <w:p w:rsidR="00B5535B" w:rsidRPr="000F72BF" w:rsidRDefault="00B5535B" w:rsidP="00EB60D6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Siendo acumulativos los siguientes rubros:</w:t>
            </w:r>
          </w:p>
        </w:tc>
      </w:tr>
      <w:tr w:rsidR="00B5535B" w:rsidRPr="000F72BF" w:rsidTr="00264783">
        <w:tc>
          <w:tcPr>
            <w:tcW w:w="3568" w:type="dxa"/>
          </w:tcPr>
          <w:p w:rsidR="00B5535B" w:rsidRPr="000F72BF" w:rsidRDefault="00B5535B" w:rsidP="0062716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Reconocimientos</w:t>
            </w:r>
          </w:p>
        </w:tc>
        <w:tc>
          <w:tcPr>
            <w:tcW w:w="3661" w:type="dxa"/>
          </w:tcPr>
          <w:p w:rsidR="00B5535B" w:rsidRPr="000F72BF" w:rsidRDefault="00B5535B" w:rsidP="0062716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  <w:tr w:rsidR="00B5535B" w:rsidRPr="000F72BF" w:rsidTr="00264783">
        <w:tc>
          <w:tcPr>
            <w:tcW w:w="3568" w:type="dxa"/>
          </w:tcPr>
          <w:p w:rsidR="00B5535B" w:rsidRPr="000F72BF" w:rsidRDefault="00B5535B" w:rsidP="0062716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Premios recibidos</w:t>
            </w:r>
          </w:p>
        </w:tc>
        <w:tc>
          <w:tcPr>
            <w:tcW w:w="3661" w:type="dxa"/>
          </w:tcPr>
          <w:p w:rsidR="00B5535B" w:rsidRPr="000F72BF" w:rsidRDefault="00B5535B" w:rsidP="0062716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5 puntos</w:t>
            </w:r>
          </w:p>
        </w:tc>
      </w:tr>
      <w:tr w:rsidR="00B5535B" w:rsidRPr="000F72BF" w:rsidTr="00264783">
        <w:tc>
          <w:tcPr>
            <w:tcW w:w="3568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Queja procedente</w:t>
            </w:r>
          </w:p>
        </w:tc>
        <w:tc>
          <w:tcPr>
            <w:tcW w:w="3661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Menos 2 puntos</w:t>
            </w:r>
          </w:p>
        </w:tc>
      </w:tr>
      <w:tr w:rsidR="00B5535B" w:rsidRPr="000F72BF" w:rsidTr="00264783">
        <w:tc>
          <w:tcPr>
            <w:tcW w:w="3568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Acta administrativa que obre en el expediente personal</w:t>
            </w:r>
          </w:p>
        </w:tc>
        <w:tc>
          <w:tcPr>
            <w:tcW w:w="3661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Menos 2 puntos</w:t>
            </w:r>
          </w:p>
        </w:tc>
      </w:tr>
      <w:tr w:rsidR="00B5535B" w:rsidRPr="000F72BF" w:rsidTr="00264783">
        <w:tc>
          <w:tcPr>
            <w:tcW w:w="3568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Llamada de atención que obre en el expediente personal</w:t>
            </w:r>
          </w:p>
        </w:tc>
        <w:tc>
          <w:tcPr>
            <w:tcW w:w="3661" w:type="dxa"/>
          </w:tcPr>
          <w:p w:rsidR="00B5535B" w:rsidRPr="000F72BF" w:rsidRDefault="00B5535B" w:rsidP="005B1BB9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  <w:lang w:val="es-ES"/>
              </w:rPr>
            </w:pPr>
            <w:r w:rsidRPr="000F72BF">
              <w:rPr>
                <w:rFonts w:ascii="Arial" w:hAnsi="Arial" w:cs="Arial"/>
                <w:bCs/>
                <w:sz w:val="20"/>
                <w:szCs w:val="20"/>
                <w:lang w:val="es-ES"/>
              </w:rPr>
              <w:t>Menos 2 puntos</w:t>
            </w:r>
          </w:p>
        </w:tc>
      </w:tr>
    </w:tbl>
    <w:p w:rsidR="00A96F89" w:rsidRPr="000F72BF" w:rsidRDefault="00A96F89" w:rsidP="00C80413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01681B" w:rsidRPr="000F72BF" w:rsidRDefault="0001681B" w:rsidP="00C80413">
      <w:pPr>
        <w:spacing w:line="276" w:lineRule="auto"/>
        <w:jc w:val="both"/>
        <w:rPr>
          <w:rFonts w:ascii="Arial" w:hAnsi="Arial" w:cs="Arial"/>
          <w:bCs/>
          <w:sz w:val="22"/>
          <w:szCs w:val="22"/>
          <w:lang w:val="es-ES"/>
        </w:rPr>
      </w:pPr>
    </w:p>
    <w:p w:rsidR="00C80413" w:rsidRPr="000F72BF" w:rsidRDefault="00EE65F8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SEXTA</w:t>
      </w:r>
      <w:r w:rsidR="00C80413" w:rsidRPr="000F72BF">
        <w:rPr>
          <w:rFonts w:ascii="Arial" w:eastAsia="Times New Roman" w:hAnsi="Arial" w:cs="Arial"/>
          <w:b/>
          <w:bCs/>
          <w:sz w:val="22"/>
          <w:szCs w:val="22"/>
        </w:rPr>
        <w:t>. Relativo a la entrevista.</w:t>
      </w:r>
      <w:r w:rsidR="00C80413" w:rsidRPr="000F72BF">
        <w:rPr>
          <w:rFonts w:ascii="Arial" w:eastAsia="Times New Roman" w:hAnsi="Arial" w:cs="Arial"/>
          <w:sz w:val="22"/>
          <w:szCs w:val="22"/>
        </w:rPr>
        <w:t> 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C80413" w:rsidRPr="000F72BF" w:rsidRDefault="00C80413" w:rsidP="00C80413">
      <w:pPr>
        <w:spacing w:after="101"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</w:rPr>
        <w:t xml:space="preserve">La Comisión de Adscripción,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>los días</w:t>
      </w:r>
      <w:r w:rsidR="00B6139B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="00432251" w:rsidRPr="000F72BF">
        <w:rPr>
          <w:rFonts w:ascii="Arial" w:eastAsia="Times New Roman" w:hAnsi="Arial" w:cs="Arial"/>
          <w:b/>
          <w:sz w:val="22"/>
          <w:szCs w:val="22"/>
          <w:lang w:val="es-ES"/>
        </w:rPr>
        <w:t>26 y 27 de noviembre</w:t>
      </w:r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 2020, </w:t>
      </w:r>
      <w:r w:rsidR="00846E19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a partir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de </w:t>
      </w:r>
      <w:r w:rsidR="00846E19" w:rsidRPr="000F72BF">
        <w:rPr>
          <w:rFonts w:ascii="Arial" w:eastAsia="Times New Roman" w:hAnsi="Arial" w:cs="Arial"/>
          <w:sz w:val="22"/>
          <w:szCs w:val="22"/>
          <w:lang w:val="es-ES"/>
        </w:rPr>
        <w:t>las 16:00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horas </w:t>
      </w:r>
      <w:r w:rsidRPr="000F72BF">
        <w:rPr>
          <w:rFonts w:ascii="Arial" w:eastAsia="Times New Roman" w:hAnsi="Arial" w:cs="Arial"/>
          <w:sz w:val="22"/>
          <w:szCs w:val="22"/>
        </w:rPr>
        <w:t>realizará una entrevista con los solicitantes, donde evaluará los siguientes aspectos:</w:t>
      </w:r>
    </w:p>
    <w:p w:rsidR="00C80413" w:rsidRPr="000F72BF" w:rsidRDefault="00C80413" w:rsidP="00C80413">
      <w:pPr>
        <w:pStyle w:val="Prrafodelista"/>
        <w:numPr>
          <w:ilvl w:val="0"/>
          <w:numId w:val="23"/>
        </w:numPr>
        <w:spacing w:after="101"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>El compromiso del aspirante con la Institucionalidad del Poder Judicial del Estado;</w:t>
      </w:r>
    </w:p>
    <w:p w:rsidR="00C80413" w:rsidRPr="000F72BF" w:rsidRDefault="00C80413" w:rsidP="00C80413">
      <w:pPr>
        <w:pStyle w:val="Prrafodelista"/>
        <w:numPr>
          <w:ilvl w:val="0"/>
          <w:numId w:val="23"/>
        </w:numPr>
        <w:spacing w:after="101"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>El rol que debe tener el Juez en la sociedad;</w:t>
      </w:r>
    </w:p>
    <w:p w:rsidR="00C80413" w:rsidRPr="000F72BF" w:rsidRDefault="00C80413" w:rsidP="00C80413">
      <w:pPr>
        <w:pStyle w:val="Prrafodelista"/>
        <w:numPr>
          <w:ilvl w:val="0"/>
          <w:numId w:val="23"/>
        </w:numPr>
        <w:spacing w:after="101"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Ética judicial y el compromiso con la protección de los derechos humanos, los valores democráticos y la transparencia. </w:t>
      </w:r>
    </w:p>
    <w:p w:rsidR="00C80413" w:rsidRPr="000F72BF" w:rsidRDefault="00C80413" w:rsidP="00C80413">
      <w:pPr>
        <w:pStyle w:val="Estilo"/>
        <w:spacing w:line="276" w:lineRule="auto"/>
        <w:rPr>
          <w:rFonts w:eastAsia="Times New Roman" w:cs="Arial"/>
          <w:b/>
          <w:bCs/>
          <w:sz w:val="22"/>
          <w:lang w:val="es-ES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>Las entrevistas serán de manera presencial y/o a través de videoconferencia, según las determinaciones de las autoridades de salud, en virtud de la emergencia sanitaria. Lo anterior será comunicado oportunamente a los solicitantes.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</w:rPr>
        <w:t xml:space="preserve">En caso de ser presenciales, se llevarán a cabo en la sede de Casa de Justicia del Primer Distrito Judicial del Estado de Campeche. 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lastRenderedPageBreak/>
        <w:t>No se permitirá la participación de los solicitantes que se presenten después de la hora señalada.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La hora de inicio de la entrevista podrá ser modificada únicamente por causa de fuerza mayor, a criterio de la Comisión de Adscripción.  </w:t>
      </w: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>Si por algún motivo justificado tuviera que haber cambio del lugar para realizar la entre</w:t>
      </w:r>
      <w:r w:rsidR="00CC2C48" w:rsidRPr="000F72BF">
        <w:rPr>
          <w:rFonts w:ascii="Arial" w:eastAsia="Times New Roman" w:hAnsi="Arial" w:cs="Arial"/>
          <w:sz w:val="22"/>
          <w:szCs w:val="22"/>
          <w:lang w:val="es-MX"/>
        </w:rPr>
        <w:t>vista, la Comisión de Adscrip</w:t>
      </w: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ción tomará las medidas correspondientes para su celebración, lo que se hará del conocimiento previo a los solicitantes por correo electrónico. </w:t>
      </w:r>
    </w:p>
    <w:p w:rsidR="00C80413" w:rsidRPr="000F72BF" w:rsidRDefault="00C80413" w:rsidP="00C80413">
      <w:pPr>
        <w:pStyle w:val="Estilo"/>
        <w:spacing w:line="276" w:lineRule="auto"/>
        <w:rPr>
          <w:rFonts w:cs="Arial"/>
          <w:b/>
          <w:sz w:val="22"/>
        </w:rPr>
      </w:pPr>
    </w:p>
    <w:p w:rsidR="00A96F89" w:rsidRPr="000F72BF" w:rsidRDefault="00A0299E" w:rsidP="00C80413">
      <w:pPr>
        <w:pStyle w:val="Estilo"/>
        <w:spacing w:line="276" w:lineRule="auto"/>
        <w:rPr>
          <w:rFonts w:cs="Arial"/>
          <w:b/>
          <w:sz w:val="22"/>
          <w:lang w:val="es-ES_tradnl"/>
        </w:rPr>
      </w:pPr>
      <w:r w:rsidRPr="000F72BF">
        <w:rPr>
          <w:rFonts w:cs="Arial"/>
          <w:b/>
          <w:sz w:val="22"/>
          <w:lang w:val="es-ES_tradnl"/>
        </w:rPr>
        <w:t>SÉPTIMA</w:t>
      </w:r>
      <w:r w:rsidR="00A96F89" w:rsidRPr="000F72BF">
        <w:rPr>
          <w:rFonts w:cs="Arial"/>
          <w:b/>
          <w:sz w:val="22"/>
          <w:lang w:val="es-ES_tradnl"/>
        </w:rPr>
        <w:t xml:space="preserve">. </w:t>
      </w:r>
      <w:r w:rsidR="007121DA" w:rsidRPr="000F72BF">
        <w:rPr>
          <w:rFonts w:cs="Arial"/>
          <w:b/>
          <w:sz w:val="22"/>
          <w:lang w:val="es-ES_tradnl"/>
        </w:rPr>
        <w:t>Elaboración del proyecto de dictamen</w:t>
      </w:r>
      <w:r w:rsidR="00A96F89" w:rsidRPr="000F72BF">
        <w:rPr>
          <w:rFonts w:cs="Arial"/>
          <w:b/>
          <w:sz w:val="22"/>
          <w:lang w:val="es-ES_tradnl"/>
        </w:rPr>
        <w:t xml:space="preserve">. </w:t>
      </w:r>
    </w:p>
    <w:p w:rsidR="00A96F89" w:rsidRPr="000F72BF" w:rsidRDefault="00A96F89" w:rsidP="00C80413">
      <w:pPr>
        <w:pStyle w:val="Estilo"/>
        <w:spacing w:line="276" w:lineRule="auto"/>
        <w:rPr>
          <w:rFonts w:cs="Arial"/>
          <w:b/>
          <w:sz w:val="22"/>
          <w:lang w:val="es-ES_tradnl"/>
        </w:rPr>
      </w:pPr>
    </w:p>
    <w:p w:rsidR="00A96F89" w:rsidRPr="000F72BF" w:rsidRDefault="00505ACB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La Comisión de Adscripción procederá a estudiar cada una de las solicitudes, y el </w:t>
      </w:r>
      <w:r w:rsidR="00432251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09 de diciembre de 2020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remitirá al Pleno del Consejo el proyecto </w:t>
      </w:r>
      <w:r w:rsidR="00CC2C48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de Dictamen acerca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de los cambios de adscripción, </w:t>
      </w:r>
      <w:r w:rsidR="00CC2C48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de acuerdo con los criterios de evaluación y los resultados de la entrevista,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para los efectos correspondientes. </w:t>
      </w:r>
    </w:p>
    <w:bookmarkEnd w:id="2"/>
    <w:p w:rsidR="00527625" w:rsidRPr="000F72BF" w:rsidRDefault="00527625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6E6C8F" w:rsidRPr="000F72BF" w:rsidRDefault="00EE65F8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OCTAVA</w:t>
      </w:r>
      <w:r w:rsidR="00527625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. </w:t>
      </w:r>
      <w:r w:rsidR="00505ACB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>Aprobación de Cambios de Adscripción</w:t>
      </w:r>
      <w:r w:rsidR="00405C71" w:rsidRPr="000F72BF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. </w:t>
      </w:r>
    </w:p>
    <w:p w:rsidR="006E6C8F" w:rsidRPr="000F72BF" w:rsidRDefault="006E6C8F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:rsidR="00C80413" w:rsidRPr="000F72BF" w:rsidRDefault="00C80413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El Pleno del Consejo de la Judicatura Local, procederá a analizar el dictamen presentado por la Comisión de Adscripción </w:t>
      </w:r>
      <w:r w:rsidR="004214A6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y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conforme a ello el </w:t>
      </w:r>
      <w:r w:rsidR="00432251" w:rsidRPr="000F72BF">
        <w:rPr>
          <w:rFonts w:ascii="Arial" w:eastAsia="Times New Roman" w:hAnsi="Arial" w:cs="Arial"/>
          <w:sz w:val="22"/>
          <w:szCs w:val="22"/>
          <w:lang w:val="es-ES"/>
        </w:rPr>
        <w:t>09 de diciembre de 2020</w:t>
      </w:r>
      <w:r w:rsidR="00CC2C48"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 determinará el cambio de adscripción </w:t>
      </w:r>
      <w:r w:rsidRPr="000F72BF">
        <w:rPr>
          <w:rFonts w:ascii="Arial" w:eastAsia="Times New Roman" w:hAnsi="Arial" w:cs="Arial"/>
          <w:sz w:val="22"/>
          <w:szCs w:val="22"/>
          <w:lang w:val="es-ES"/>
        </w:rPr>
        <w:t>con relación a las plazas materia de la convocatoria.</w:t>
      </w:r>
    </w:p>
    <w:p w:rsidR="007E3BEC" w:rsidRPr="000F72BF" w:rsidRDefault="007E3BEC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7E3BEC" w:rsidRPr="000F72BF" w:rsidRDefault="00EE65F8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NOVENA</w:t>
      </w:r>
      <w:r w:rsidR="007121DA" w:rsidRPr="000F72BF">
        <w:rPr>
          <w:rFonts w:ascii="Arial" w:eastAsia="Times New Roman" w:hAnsi="Arial" w:cs="Arial"/>
          <w:b/>
          <w:bCs/>
          <w:sz w:val="22"/>
          <w:szCs w:val="22"/>
        </w:rPr>
        <w:t>. Notificación de los resultados</w:t>
      </w:r>
      <w:r w:rsidR="002F2192" w:rsidRPr="000F72BF">
        <w:rPr>
          <w:rFonts w:ascii="Arial" w:eastAsia="Times New Roman" w:hAnsi="Arial" w:cs="Arial"/>
          <w:sz w:val="22"/>
          <w:szCs w:val="22"/>
        </w:rPr>
        <w:t xml:space="preserve">. </w:t>
      </w:r>
    </w:p>
    <w:p w:rsidR="007E3BEC" w:rsidRPr="000F72BF" w:rsidRDefault="007E3BEC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C80413" w:rsidRPr="000F72BF" w:rsidRDefault="00505ACB" w:rsidP="00C80413">
      <w:pPr>
        <w:spacing w:line="276" w:lineRule="auto"/>
        <w:jc w:val="both"/>
        <w:rPr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  <w:lang w:val="es-ES"/>
        </w:rPr>
        <w:t xml:space="preserve">Los dictámenes de cambios de adscripción aprobados por el Pleno del Consejo de la Judicatura Local, </w:t>
      </w:r>
      <w:r w:rsidR="00C80413" w:rsidRPr="000F72BF">
        <w:rPr>
          <w:rFonts w:ascii="Arial" w:eastAsia="Times New Roman" w:hAnsi="Arial" w:cs="Arial"/>
          <w:color w:val="000000" w:themeColor="text1"/>
          <w:sz w:val="22"/>
          <w:szCs w:val="22"/>
        </w:rPr>
        <w:t>se publicarán, con efectos de notificación a los interesados, en el Periódico Oficial del Estado, así como en el correo electrónico de las pe</w:t>
      </w:r>
      <w:r w:rsidR="00CC2C48" w:rsidRPr="000F72BF">
        <w:rPr>
          <w:rFonts w:ascii="Arial" w:eastAsia="Times New Roman" w:hAnsi="Arial" w:cs="Arial"/>
          <w:color w:val="000000" w:themeColor="text1"/>
          <w:sz w:val="22"/>
          <w:szCs w:val="22"/>
        </w:rPr>
        <w:t>rsonas a las que se les autorizó</w:t>
      </w:r>
      <w:r w:rsidR="00C80413" w:rsidRPr="000F72BF">
        <w:rPr>
          <w:rFonts w:ascii="Arial" w:eastAsia="Times New Roman" w:hAnsi="Arial" w:cs="Arial"/>
          <w:color w:val="000000" w:themeColor="text1"/>
          <w:sz w:val="22"/>
          <w:szCs w:val="22"/>
        </w:rPr>
        <w:t xml:space="preserve"> el cambio respectivo.</w:t>
      </w:r>
    </w:p>
    <w:p w:rsidR="009E3241" w:rsidRPr="000F72BF" w:rsidRDefault="009E3241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340FF3" w:rsidRPr="000F72BF" w:rsidRDefault="00A0299E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DÉCIMA</w:t>
      </w:r>
      <w:r w:rsidR="002F2192" w:rsidRPr="000F72BF">
        <w:rPr>
          <w:rFonts w:ascii="Arial" w:eastAsia="Times New Roman" w:hAnsi="Arial" w:cs="Arial"/>
          <w:b/>
          <w:bCs/>
          <w:sz w:val="22"/>
          <w:szCs w:val="22"/>
        </w:rPr>
        <w:t>. Instancias facultadas para resolver las circunstancias no previstas. </w:t>
      </w:r>
    </w:p>
    <w:p w:rsidR="00340FF3" w:rsidRPr="000F72BF" w:rsidRDefault="00340FF3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9E3241" w:rsidRPr="000F72BF" w:rsidRDefault="009E3241" w:rsidP="00C80413">
      <w:pPr>
        <w:spacing w:after="101" w:line="276" w:lineRule="auto"/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Las circunstancias no previstas en la Ley Orgánica </w:t>
      </w:r>
      <w:r w:rsidR="00C80413" w:rsidRPr="000F72BF">
        <w:rPr>
          <w:rFonts w:ascii="Arial" w:eastAsia="Times New Roman" w:hAnsi="Arial" w:cs="Arial"/>
          <w:sz w:val="22"/>
          <w:szCs w:val="22"/>
          <w:lang w:val="es-MX"/>
        </w:rPr>
        <w:t>del Poder Judicial del Estado,  y e</w:t>
      </w: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n </w:t>
      </w:r>
      <w:r w:rsidR="00244204"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el </w:t>
      </w:r>
      <w:r w:rsidR="00D90C8B" w:rsidRPr="000F72BF">
        <w:rPr>
          <w:rFonts w:ascii="Arial" w:eastAsia="Times New Roman" w:hAnsi="Arial" w:cs="Arial"/>
          <w:sz w:val="22"/>
          <w:szCs w:val="22"/>
          <w:lang w:val="es-MX"/>
        </w:rPr>
        <w:t>Reglamento de Cambios de Adscripción y Readscripción de Juezas, Jueces, Secretarias o Secretarios de Acuerdos, Actuarias, Actuarios, o categorías similares que integran la carrera judicial en los Juzgados de Primera Instancia del Poder Judicial del Estado</w:t>
      </w:r>
      <w:r w:rsidRPr="000F72BF">
        <w:rPr>
          <w:rFonts w:ascii="Arial" w:eastAsia="Times New Roman" w:hAnsi="Arial" w:cs="Arial"/>
          <w:sz w:val="22"/>
          <w:szCs w:val="22"/>
          <w:lang w:val="es-MX"/>
        </w:rPr>
        <w:t xml:space="preserve">, serán resueltas por el Pleno del Consejo, la Comisión de </w:t>
      </w:r>
      <w:r w:rsidR="00234EBC" w:rsidRPr="000F72BF">
        <w:rPr>
          <w:rFonts w:ascii="Arial" w:eastAsia="Times New Roman" w:hAnsi="Arial" w:cs="Arial"/>
          <w:sz w:val="22"/>
          <w:szCs w:val="22"/>
          <w:lang w:val="es-MX"/>
        </w:rPr>
        <w:t>Adscripción, o la Secretaría Ejecutiva</w:t>
      </w:r>
      <w:r w:rsidRPr="000F72BF">
        <w:rPr>
          <w:rFonts w:ascii="Arial" w:eastAsia="Times New Roman" w:hAnsi="Arial" w:cs="Arial"/>
          <w:sz w:val="22"/>
          <w:szCs w:val="22"/>
          <w:lang w:val="es-MX"/>
        </w:rPr>
        <w:t>, en el ámbito de sus respectivas competencias.</w:t>
      </w:r>
    </w:p>
    <w:p w:rsidR="002F2192" w:rsidRPr="000F72BF" w:rsidRDefault="002F2192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9707E5" w:rsidRPr="000F72BF" w:rsidRDefault="00A0299E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DÉCIMA</w:t>
      </w:r>
      <w:r w:rsidR="00EE65F8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 PRIMERA</w:t>
      </w:r>
      <w:r w:rsidR="009707E5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2F2192" w:rsidRPr="000F72BF">
        <w:rPr>
          <w:rFonts w:ascii="Arial" w:eastAsia="Times New Roman" w:hAnsi="Arial" w:cs="Arial"/>
          <w:b/>
          <w:bCs/>
          <w:sz w:val="22"/>
          <w:szCs w:val="22"/>
        </w:rPr>
        <w:t>Conformidad.</w:t>
      </w:r>
      <w:r w:rsidR="002F2192" w:rsidRPr="000F72BF">
        <w:rPr>
          <w:rFonts w:ascii="Arial" w:eastAsia="Times New Roman" w:hAnsi="Arial" w:cs="Arial"/>
          <w:sz w:val="22"/>
          <w:szCs w:val="22"/>
        </w:rPr>
        <w:t> </w:t>
      </w:r>
    </w:p>
    <w:p w:rsidR="009707E5" w:rsidRPr="000F72BF" w:rsidRDefault="009707E5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</w:p>
    <w:p w:rsidR="002F2192" w:rsidRPr="000F72BF" w:rsidRDefault="002F2192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</w:rPr>
        <w:t xml:space="preserve">La presentación de la solicitud implica, necesariamente, que el </w:t>
      </w:r>
      <w:r w:rsidR="00234EBC" w:rsidRPr="000F72BF">
        <w:rPr>
          <w:rFonts w:ascii="Arial" w:eastAsia="Times New Roman" w:hAnsi="Arial" w:cs="Arial"/>
          <w:sz w:val="22"/>
          <w:szCs w:val="22"/>
        </w:rPr>
        <w:t>solicitante</w:t>
      </w:r>
      <w:r w:rsidRPr="000F72BF">
        <w:rPr>
          <w:rFonts w:ascii="Arial" w:eastAsia="Times New Roman" w:hAnsi="Arial" w:cs="Arial"/>
          <w:sz w:val="22"/>
          <w:szCs w:val="22"/>
        </w:rPr>
        <w:t xml:space="preserve"> conoce los requisitos exigidos y participación en el </w:t>
      </w:r>
      <w:r w:rsidR="00234EBC" w:rsidRPr="000F72BF">
        <w:rPr>
          <w:rFonts w:ascii="Arial" w:eastAsia="Times New Roman" w:hAnsi="Arial" w:cs="Arial"/>
          <w:sz w:val="22"/>
          <w:szCs w:val="22"/>
        </w:rPr>
        <w:t>proceso de cambio de adscripción</w:t>
      </w:r>
      <w:r w:rsidRPr="000F72BF">
        <w:rPr>
          <w:rFonts w:ascii="Arial" w:eastAsia="Times New Roman" w:hAnsi="Arial" w:cs="Arial"/>
          <w:sz w:val="22"/>
          <w:szCs w:val="22"/>
        </w:rPr>
        <w:t>, así como su expresa conformidad.</w:t>
      </w:r>
    </w:p>
    <w:p w:rsidR="009F393F" w:rsidRPr="000F72BF" w:rsidRDefault="009F393F" w:rsidP="00C80413">
      <w:pPr>
        <w:spacing w:line="276" w:lineRule="auto"/>
        <w:ind w:firstLine="288"/>
        <w:jc w:val="both"/>
        <w:rPr>
          <w:rFonts w:ascii="Arial" w:eastAsia="Times New Roman" w:hAnsi="Arial" w:cs="Arial"/>
          <w:sz w:val="22"/>
          <w:szCs w:val="22"/>
        </w:rPr>
      </w:pPr>
    </w:p>
    <w:p w:rsidR="002F2192" w:rsidRPr="000F72BF" w:rsidRDefault="00A0299E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DÉCIMA</w:t>
      </w:r>
      <w:r w:rsidR="00EE65F8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 SEGUNDA</w:t>
      </w:r>
      <w:r w:rsidR="009707E5" w:rsidRPr="000F72BF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2F2192" w:rsidRPr="000F72BF">
        <w:rPr>
          <w:rFonts w:ascii="Arial" w:eastAsia="Times New Roman" w:hAnsi="Arial" w:cs="Arial"/>
          <w:b/>
          <w:bCs/>
          <w:sz w:val="22"/>
          <w:szCs w:val="22"/>
        </w:rPr>
        <w:t>Calendario.</w:t>
      </w:r>
    </w:p>
    <w:p w:rsidR="00340FF3" w:rsidRPr="000F72BF" w:rsidRDefault="00340FF3" w:rsidP="00B54A80">
      <w:pPr>
        <w:jc w:val="both"/>
        <w:rPr>
          <w:rFonts w:ascii="Arial" w:eastAsia="Times New Roman" w:hAnsi="Arial" w:cs="Arial"/>
          <w:color w:val="2F2F2F"/>
          <w:sz w:val="22"/>
          <w:szCs w:val="22"/>
        </w:rPr>
      </w:pPr>
    </w:p>
    <w:tbl>
      <w:tblPr>
        <w:tblW w:w="0" w:type="auto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4444"/>
      </w:tblGrid>
      <w:tr w:rsidR="002F2192" w:rsidRPr="000F72BF" w:rsidTr="0059653C">
        <w:trPr>
          <w:trHeight w:val="3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192" w:rsidRPr="000F72BF" w:rsidRDefault="002F2192" w:rsidP="002F21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2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Actividad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2F2192" w:rsidRPr="000F72BF" w:rsidRDefault="002F2192" w:rsidP="002F2192">
            <w:pPr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F72BF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Fecha</w:t>
            </w:r>
          </w:p>
        </w:tc>
      </w:tr>
      <w:tr w:rsidR="00401541" w:rsidRPr="000F72BF" w:rsidTr="0059653C">
        <w:trPr>
          <w:trHeight w:val="352"/>
        </w:trPr>
        <w:tc>
          <w:tcPr>
            <w:tcW w:w="4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:rsidR="005B28E4" w:rsidRPr="000F72BF" w:rsidRDefault="005B28E4" w:rsidP="005B28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Inscripción (Período de recepción de solicitudes)</w:t>
            </w:r>
            <w:r w:rsidR="00760567" w:rsidRPr="000F72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8E4" w:rsidRPr="000F72BF" w:rsidRDefault="00CC2C48" w:rsidP="009654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19 y</w:t>
            </w:r>
            <w:r w:rsidR="009654B5"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 20 de noviembre de 2020</w:t>
            </w:r>
          </w:p>
        </w:tc>
      </w:tr>
      <w:tr w:rsidR="00401541" w:rsidRPr="000F72BF" w:rsidTr="0059653C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E4D55" w:rsidRPr="000F72BF" w:rsidRDefault="000E4D55" w:rsidP="000E4D5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Constancia de recepción</w:t>
            </w:r>
            <w:r w:rsidR="00C80413" w:rsidRPr="000F72BF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5B28E4" w:rsidRPr="000F72BF" w:rsidRDefault="005B28E4" w:rsidP="005B28E4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8E4" w:rsidRPr="000F72BF" w:rsidRDefault="009654B5" w:rsidP="00CC2C48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19 </w:t>
            </w:r>
            <w:r w:rsidR="00CC2C48" w:rsidRPr="000F72BF">
              <w:rPr>
                <w:rFonts w:ascii="Arial" w:eastAsia="Times New Roman" w:hAnsi="Arial" w:cs="Arial"/>
                <w:sz w:val="20"/>
                <w:szCs w:val="20"/>
              </w:rPr>
              <w:t>y</w:t>
            </w:r>
            <w:r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 20 de noviembre de 2020</w:t>
            </w:r>
          </w:p>
        </w:tc>
      </w:tr>
      <w:tr w:rsidR="0059653C" w:rsidRPr="000F72BF" w:rsidTr="0059653C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53C" w:rsidRPr="000F72BF" w:rsidRDefault="0059653C" w:rsidP="000E4D5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lastRenderedPageBreak/>
              <w:t>Remisión a la Secretaria Ejecutiva por parte de la Dirección de Recursos Humanos de los Expedientes de los solicitantes.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53C" w:rsidRPr="000F72BF" w:rsidRDefault="0059653C" w:rsidP="009654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23 de noviembre de 2020</w:t>
            </w:r>
          </w:p>
        </w:tc>
      </w:tr>
      <w:tr w:rsidR="0059653C" w:rsidRPr="000F72BF" w:rsidTr="0059653C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53C" w:rsidRPr="000F72BF" w:rsidRDefault="0059653C" w:rsidP="005965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Determinación por parte de la </w:t>
            </w:r>
            <w:r w:rsidRPr="000F72BF">
              <w:rPr>
                <w:rFonts w:ascii="Arial" w:eastAsia="Times New Roman" w:hAnsi="Arial" w:cs="Arial"/>
                <w:bCs/>
                <w:sz w:val="20"/>
                <w:szCs w:val="20"/>
              </w:rPr>
              <w:t>Comisión de Adscripción</w:t>
            </w:r>
            <w:r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, del valor de los elementos fijados para los cambios de adscripción por cada aspirante. Lo </w:t>
            </w:r>
            <w:r w:rsidR="00AE7AA0" w:rsidRPr="000F72BF">
              <w:rPr>
                <w:rFonts w:ascii="Arial" w:eastAsia="Times New Roman" w:hAnsi="Arial" w:cs="Arial"/>
                <w:sz w:val="20"/>
                <w:szCs w:val="20"/>
              </w:rPr>
              <w:t>anterior con</w:t>
            </w:r>
            <w:r w:rsidRPr="000F72BF">
              <w:rPr>
                <w:rFonts w:ascii="Arial" w:eastAsia="Times New Roman" w:hAnsi="Arial" w:cs="Arial"/>
                <w:sz w:val="20"/>
                <w:szCs w:val="20"/>
              </w:rPr>
              <w:t xml:space="preserve"> el apoyo de la Secretaria Ejecutiva y con base en el contenido de los expedientes y las solicitudes.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59653C" w:rsidRPr="000F72BF" w:rsidRDefault="0059653C" w:rsidP="009654B5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24 y 25 de noviembre de 2020</w:t>
            </w:r>
          </w:p>
        </w:tc>
      </w:tr>
      <w:tr w:rsidR="00401541" w:rsidRPr="000F72BF" w:rsidTr="0059653C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8E4" w:rsidRPr="000F72BF" w:rsidRDefault="000E4D55" w:rsidP="0059653C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Entrevista.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5B28E4" w:rsidRPr="000F72BF" w:rsidRDefault="00432251" w:rsidP="004322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26 y 27 de noviembre de 2020</w:t>
            </w:r>
          </w:p>
        </w:tc>
      </w:tr>
      <w:tr w:rsidR="00401541" w:rsidRPr="000F72BF" w:rsidTr="0059653C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B30" w:rsidRPr="000F72BF" w:rsidRDefault="000E4D55" w:rsidP="00D24B3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Aprobación por parte de la Comisión de Adscripción del proyecto de dictamen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:rsidR="00D24B30" w:rsidRPr="000F72BF" w:rsidRDefault="00432251" w:rsidP="004322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04 de diciembre de 2020</w:t>
            </w:r>
          </w:p>
        </w:tc>
      </w:tr>
      <w:tr w:rsidR="00401541" w:rsidRPr="000F72BF" w:rsidTr="0059653C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B30" w:rsidRPr="000F72BF" w:rsidRDefault="000E4D55" w:rsidP="00D24B3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Remisión al Pleno del Consejo de la Judicatura Local el proyecto de dictamen.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D24B30" w:rsidRPr="000F72BF" w:rsidRDefault="00432251" w:rsidP="004322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09 de diciembre de 2020</w:t>
            </w:r>
          </w:p>
        </w:tc>
      </w:tr>
      <w:tr w:rsidR="000E4D55" w:rsidRPr="000F72BF" w:rsidTr="0059653C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4D55" w:rsidRPr="000F72BF" w:rsidRDefault="000E4D55" w:rsidP="000E4D55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Aprobación por parte del Pleno del Consejo de la Judicatura Local de los Cambios de Adscripción.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4D55" w:rsidRPr="000F72BF" w:rsidRDefault="00432251" w:rsidP="004322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09 de diciembre de 2020</w:t>
            </w:r>
          </w:p>
        </w:tc>
      </w:tr>
      <w:tr w:rsidR="000E4D55" w:rsidRPr="000F72BF" w:rsidTr="0059653C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4D55" w:rsidRPr="000F72BF" w:rsidRDefault="000E4D55" w:rsidP="00D24B30">
            <w:p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Notificación de los resultados a los interesados.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:rsidR="000E4D55" w:rsidRPr="000F72BF" w:rsidRDefault="00432251" w:rsidP="00432251">
            <w:pPr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0F72BF">
              <w:rPr>
                <w:rFonts w:ascii="Arial" w:eastAsia="Times New Roman" w:hAnsi="Arial" w:cs="Arial"/>
                <w:sz w:val="20"/>
                <w:szCs w:val="20"/>
              </w:rPr>
              <w:t>10 de diciembre de 2020</w:t>
            </w:r>
          </w:p>
        </w:tc>
      </w:tr>
    </w:tbl>
    <w:p w:rsidR="002F2192" w:rsidRPr="000F72BF" w:rsidRDefault="002F2192" w:rsidP="002F2192">
      <w:pPr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0F72BF">
        <w:rPr>
          <w:rFonts w:ascii="Arial" w:eastAsia="Times New Roman" w:hAnsi="Arial" w:cs="Arial"/>
          <w:sz w:val="18"/>
          <w:szCs w:val="18"/>
        </w:rPr>
        <w:t> </w:t>
      </w:r>
    </w:p>
    <w:p w:rsidR="002F2192" w:rsidRPr="000F72BF" w:rsidRDefault="002F2192" w:rsidP="00C80413">
      <w:pPr>
        <w:spacing w:line="276" w:lineRule="auto"/>
        <w:jc w:val="both"/>
        <w:rPr>
          <w:rFonts w:ascii="Arial" w:eastAsia="Times New Roman" w:hAnsi="Arial" w:cs="Arial"/>
          <w:sz w:val="22"/>
          <w:szCs w:val="22"/>
        </w:rPr>
      </w:pPr>
      <w:r w:rsidRPr="000F72BF">
        <w:rPr>
          <w:rFonts w:ascii="Arial" w:eastAsia="Times New Roman" w:hAnsi="Arial" w:cs="Arial"/>
          <w:sz w:val="22"/>
          <w:szCs w:val="22"/>
        </w:rPr>
        <w:t>El calendario podrá modificarse únicamente por causas que lo justifiquen, las que se harán del conocimiento de cada participante a través de su cuenta de correo electrónico oficial.</w:t>
      </w:r>
    </w:p>
    <w:p w:rsidR="00823F81" w:rsidRPr="000F72BF" w:rsidRDefault="00823F81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2F2192" w:rsidRPr="000F72BF" w:rsidRDefault="002F2192" w:rsidP="00C80413">
      <w:pPr>
        <w:spacing w:line="276" w:lineRule="auto"/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TRANSITORIO</w:t>
      </w:r>
    </w:p>
    <w:p w:rsidR="00C71833" w:rsidRPr="000F72BF" w:rsidRDefault="00C71833" w:rsidP="00C80413">
      <w:pPr>
        <w:spacing w:line="276" w:lineRule="auto"/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:rsidR="002F2192" w:rsidRPr="000F72BF" w:rsidRDefault="004E0A5C" w:rsidP="00C80413">
      <w:pPr>
        <w:spacing w:line="276" w:lineRule="auto"/>
        <w:jc w:val="both"/>
        <w:rPr>
          <w:rFonts w:ascii="Arial" w:hAnsi="Arial" w:cs="Arial"/>
          <w:sz w:val="22"/>
          <w:szCs w:val="22"/>
          <w:lang w:val="es-ES"/>
        </w:rPr>
      </w:pPr>
      <w:r w:rsidRPr="000F72BF">
        <w:rPr>
          <w:rFonts w:ascii="Arial" w:eastAsia="Times New Roman" w:hAnsi="Arial" w:cs="Arial"/>
          <w:b/>
          <w:bCs/>
          <w:sz w:val="22"/>
          <w:szCs w:val="22"/>
        </w:rPr>
        <w:t>ÚNICO</w:t>
      </w:r>
      <w:r w:rsidR="002F2192" w:rsidRPr="000F72BF">
        <w:rPr>
          <w:rFonts w:ascii="Arial" w:eastAsia="Times New Roman" w:hAnsi="Arial" w:cs="Arial"/>
          <w:b/>
          <w:bCs/>
          <w:sz w:val="22"/>
          <w:szCs w:val="22"/>
        </w:rPr>
        <w:t>.</w:t>
      </w:r>
      <w:r w:rsidR="002F2192" w:rsidRPr="000F72BF">
        <w:rPr>
          <w:rFonts w:ascii="Arial" w:eastAsia="Times New Roman" w:hAnsi="Arial" w:cs="Arial"/>
          <w:sz w:val="22"/>
          <w:szCs w:val="22"/>
        </w:rPr>
        <w:t xml:space="preserve"> Publíquese la presente Convocatoria por una vez en el </w:t>
      </w:r>
      <w:r w:rsidR="00C635F3" w:rsidRPr="000F72BF">
        <w:rPr>
          <w:rFonts w:ascii="Arial" w:eastAsia="Times New Roman" w:hAnsi="Arial" w:cs="Arial"/>
          <w:sz w:val="22"/>
          <w:szCs w:val="22"/>
        </w:rPr>
        <w:t>Periódico Oficial del Estado</w:t>
      </w:r>
      <w:r w:rsidR="002F2192" w:rsidRPr="000F72BF">
        <w:rPr>
          <w:rFonts w:ascii="Arial" w:eastAsia="Times New Roman" w:hAnsi="Arial" w:cs="Arial"/>
          <w:sz w:val="22"/>
          <w:szCs w:val="22"/>
        </w:rPr>
        <w:t xml:space="preserve">, en cumplimiento de lo ordenado por el artículo </w:t>
      </w:r>
      <w:r w:rsidR="000E4D55" w:rsidRPr="000F72BF">
        <w:rPr>
          <w:rFonts w:ascii="Arial" w:eastAsia="Times New Roman" w:hAnsi="Arial" w:cs="Arial"/>
          <w:sz w:val="22"/>
          <w:szCs w:val="22"/>
        </w:rPr>
        <w:t>5</w:t>
      </w:r>
      <w:r w:rsidR="00823F81" w:rsidRPr="000F72BF">
        <w:rPr>
          <w:rFonts w:ascii="Arial" w:eastAsia="Times New Roman" w:hAnsi="Arial" w:cs="Arial"/>
          <w:sz w:val="22"/>
          <w:szCs w:val="22"/>
        </w:rPr>
        <w:t xml:space="preserve"> del </w:t>
      </w:r>
      <w:r w:rsidR="00D90C8B" w:rsidRPr="000F72BF">
        <w:rPr>
          <w:rFonts w:ascii="Arial" w:eastAsia="Times New Roman" w:hAnsi="Arial" w:cs="Arial"/>
          <w:sz w:val="22"/>
          <w:szCs w:val="22"/>
          <w:lang w:val="es-MX"/>
        </w:rPr>
        <w:t>Reglamento de Cambios de Adscripción y Readscripción de Juezas, Jueces, Secretarias o Secretarios de Acuerdos, Actuarias, Actuarios, o categorías similares que  integran la carrera judicial en los Juzgados de Primera Instancia del Poder Judicial del Estado</w:t>
      </w:r>
      <w:r w:rsidR="000E4D55" w:rsidRPr="000F72BF">
        <w:rPr>
          <w:rFonts w:ascii="Arial" w:eastAsia="Times New Roman" w:hAnsi="Arial" w:cs="Arial"/>
          <w:sz w:val="22"/>
          <w:szCs w:val="22"/>
        </w:rPr>
        <w:t xml:space="preserve">, de los juzgados de todos los Distritos Judiciales, </w:t>
      </w:r>
      <w:r w:rsidR="002F2192" w:rsidRPr="000F72BF">
        <w:rPr>
          <w:rFonts w:ascii="Arial" w:eastAsia="Times New Roman" w:hAnsi="Arial" w:cs="Arial"/>
          <w:sz w:val="22"/>
          <w:szCs w:val="22"/>
        </w:rPr>
        <w:t xml:space="preserve">y para su mayor difusión en la página web del </w:t>
      </w:r>
      <w:r w:rsidR="00C71833" w:rsidRPr="000F72BF">
        <w:rPr>
          <w:rFonts w:ascii="Arial" w:eastAsia="Times New Roman" w:hAnsi="Arial" w:cs="Arial"/>
          <w:sz w:val="22"/>
          <w:szCs w:val="22"/>
        </w:rPr>
        <w:t>Consejo de la Judicatura Local</w:t>
      </w:r>
      <w:r w:rsidR="0001681B">
        <w:rPr>
          <w:rFonts w:ascii="Arial" w:eastAsia="Times New Roman" w:hAnsi="Arial" w:cs="Arial"/>
          <w:sz w:val="22"/>
          <w:szCs w:val="22"/>
        </w:rPr>
        <w:t>…”.</w:t>
      </w:r>
    </w:p>
    <w:p w:rsidR="00C635F3" w:rsidRPr="000F72BF" w:rsidRDefault="00C635F3" w:rsidP="00C80413">
      <w:pPr>
        <w:spacing w:line="276" w:lineRule="auto"/>
        <w:ind w:firstLine="288"/>
        <w:jc w:val="both"/>
        <w:rPr>
          <w:rFonts w:ascii="Arial" w:eastAsia="Times New Roman" w:hAnsi="Arial" w:cs="Arial"/>
          <w:sz w:val="22"/>
          <w:szCs w:val="22"/>
        </w:rPr>
      </w:pP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</w:rPr>
      </w:pPr>
      <w:r w:rsidRPr="005B7A90">
        <w:rPr>
          <w:rFonts w:ascii="Arial" w:hAnsi="Arial" w:cs="Arial"/>
        </w:rPr>
        <w:t>Reiterando las segurida</w:t>
      </w:r>
      <w:bookmarkStart w:id="3" w:name="_GoBack"/>
      <w:bookmarkEnd w:id="3"/>
      <w:r w:rsidRPr="005B7A90">
        <w:rPr>
          <w:rFonts w:ascii="Arial" w:hAnsi="Arial" w:cs="Arial"/>
        </w:rPr>
        <w:t>des de mí distinguida consideración.</w:t>
      </w: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A T E N T A M E N T E</w:t>
      </w: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 xml:space="preserve">San Francisco de Campeche, Campeche, a </w:t>
      </w:r>
      <w:r>
        <w:rPr>
          <w:rFonts w:ascii="Arial" w:hAnsi="Arial" w:cs="Arial"/>
          <w:bCs/>
        </w:rPr>
        <w:t>12</w:t>
      </w:r>
      <w:r w:rsidRPr="005B7A9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noviembre</w:t>
      </w:r>
      <w:r w:rsidRPr="005B7A90">
        <w:rPr>
          <w:rFonts w:ascii="Arial" w:hAnsi="Arial" w:cs="Arial"/>
          <w:bCs/>
        </w:rPr>
        <w:t xml:space="preserve"> de 2020</w:t>
      </w: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:rsidR="0001681B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:rsidR="0001681B" w:rsidRPr="005B7A90" w:rsidRDefault="0001681B" w:rsidP="0001681B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DOCTORA CONCEPCIÓN DEL CARMEN CANTO SANTOS</w:t>
      </w: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:rsidR="0001681B" w:rsidRPr="005B7A90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</w:t>
      </w:r>
      <w:r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Pr="005B7A90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:rsidR="0001681B" w:rsidRPr="005B7A90" w:rsidRDefault="0001681B" w:rsidP="0001681B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:rsidR="0001681B" w:rsidRDefault="0001681B" w:rsidP="0001681B">
      <w:pPr>
        <w:tabs>
          <w:tab w:val="left" w:pos="1290"/>
        </w:tabs>
        <w:jc w:val="both"/>
      </w:pPr>
      <w:r w:rsidRPr="005B7A90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01681B" w:rsidSect="0001681B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A62" w:rsidRDefault="00E05A62" w:rsidP="00CF74B4">
      <w:r>
        <w:separator/>
      </w:r>
    </w:p>
  </w:endnote>
  <w:endnote w:type="continuationSeparator" w:id="0">
    <w:p w:rsidR="00E05A62" w:rsidRDefault="00E05A62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681B" w:rsidRPr="00D82753" w:rsidRDefault="0001681B" w:rsidP="0001681B">
    <w:pPr>
      <w:pStyle w:val="Piedepgina"/>
      <w:ind w:left="142"/>
      <w:rPr>
        <w:b/>
        <w:color w:val="58646B"/>
        <w:sz w:val="12"/>
        <w:szCs w:val="12"/>
      </w:rPr>
    </w:pPr>
    <w:r w:rsidRPr="00D82753">
      <w:rPr>
        <w:b/>
        <w:color w:val="58646B"/>
        <w:sz w:val="12"/>
        <w:szCs w:val="12"/>
      </w:rPr>
      <w:t>CASA DE JUSTICIA</w:t>
    </w:r>
  </w:p>
  <w:p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>AV. PATRICIO TRUEBA Y DE REGIL NO. 236,</w:t>
    </w:r>
  </w:p>
  <w:p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COLONIA SAN RAFAEL C.P. 24090                           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</w:t>
    </w:r>
    <w:r>
      <w:rPr>
        <w:color w:val="58646B"/>
        <w:sz w:val="12"/>
        <w:szCs w:val="12"/>
      </w:rPr>
      <w:t xml:space="preserve">                            </w:t>
    </w:r>
    <w:r>
      <w:rPr>
        <w:color w:val="58646B"/>
        <w:sz w:val="12"/>
        <w:szCs w:val="12"/>
      </w:rPr>
      <w:t xml:space="preserve">                             </w:t>
    </w:r>
    <w:r w:rsidRPr="00D82753">
      <w:rPr>
        <w:color w:val="58646B"/>
        <w:sz w:val="12"/>
        <w:szCs w:val="12"/>
      </w:rPr>
      <w:t>Tel. (01 981)  81 30664, ext. 1256</w:t>
    </w:r>
  </w:p>
  <w:p w:rsidR="0001681B" w:rsidRPr="00D82753" w:rsidRDefault="0001681B" w:rsidP="0001681B">
    <w:pPr>
      <w:pStyle w:val="Piedepgina"/>
      <w:ind w:left="142"/>
      <w:rPr>
        <w:color w:val="58646B"/>
        <w:sz w:val="12"/>
        <w:szCs w:val="12"/>
      </w:rPr>
    </w:pPr>
    <w:r w:rsidRPr="00D82753">
      <w:rPr>
        <w:color w:val="58646B"/>
        <w:sz w:val="12"/>
        <w:szCs w:val="12"/>
      </w:rPr>
      <w:t xml:space="preserve">SAN FRANCISCO DE CAMPECHE, CAMPECHE.                                                                              </w:t>
    </w:r>
    <w:r>
      <w:rPr>
        <w:color w:val="58646B"/>
        <w:sz w:val="12"/>
        <w:szCs w:val="12"/>
      </w:rPr>
      <w:t xml:space="preserve">                                                                     </w:t>
    </w:r>
    <w:r>
      <w:rPr>
        <w:color w:val="58646B"/>
        <w:sz w:val="12"/>
        <w:szCs w:val="12"/>
      </w:rPr>
      <w:t xml:space="preserve">                     </w:t>
    </w:r>
    <w:r w:rsidRPr="00D82753">
      <w:rPr>
        <w:color w:val="58646B"/>
        <w:sz w:val="12"/>
        <w:szCs w:val="12"/>
      </w:rPr>
      <w:t xml:space="preserve">www.poderjudicialcampeche.gob.mx </w:t>
    </w:r>
  </w:p>
  <w:p w:rsidR="0001681B" w:rsidRDefault="0001681B" w:rsidP="0001681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A62" w:rsidRDefault="00E05A62" w:rsidP="00CF74B4">
      <w:r>
        <w:separator/>
      </w:r>
    </w:p>
  </w:footnote>
  <w:footnote w:type="continuationSeparator" w:id="0">
    <w:p w:rsidR="00E05A62" w:rsidRDefault="00E05A62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8752" behindDoc="0" locked="0" layoutInCell="1" allowOverlap="1" wp14:anchorId="3C4EB637" wp14:editId="32B1349F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1681B"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-743585</wp:posOffset>
              </wp:positionH>
              <wp:positionV relativeFrom="paragraph">
                <wp:posOffset>-159385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:rsidR="00433ED5" w:rsidRPr="00EE338F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EE338F"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  <w:t>“2020, Año del Centenario del Natalicio de Román Piña Chan”</w:t>
                            </w:r>
                          </w:p>
                          <w:p w:rsidR="00433ED5" w:rsidRPr="00EE338F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  <w:r w:rsidRPr="00EE338F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“Garantizar una</w:t>
                            </w:r>
                            <w:r w:rsidRPr="00EE338F">
                              <w:rPr>
                                <w:rFonts w:ascii="Arial" w:hAnsi="Arial" w:cs="Arial"/>
                                <w:sz w:val="17"/>
                                <w:szCs w:val="17"/>
                                <w:lang w:val="es-MX"/>
                              </w:rPr>
                              <w:t xml:space="preserve"> justicia efectiva, es proteger el derecho humano de todos”</w:t>
                            </w:r>
                          </w:p>
                          <w:p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:rsidR="00433ED5" w:rsidRDefault="00433ED5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:rsidR="00433ED5" w:rsidRDefault="00433ED5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1" o:spid="_x0000_s1026" style="position:absolute;margin-left:-58.55pt;margin-top:-12.5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lIPvu4QAAAAwBAAAPAAAAZHJzL2Rvd25y&#10;ZXYueG1sTI/BasJAEIbvhb7DMoXedLMRjaTZiEjbkxSqhdLbmIxJMLsbsmsS377TU739w3z88022&#10;mUwrBup946wGNY9AkC1c2dhKw9fxbbYG4QPaEltnScONPGzyx4cM09KN9pOGQ6gEl1ifooY6hC6V&#10;0hc1GfRz15Hl3dn1BgOPfSXLHkcuN62Mo2glDTaWL9TY0a6m4nK4Gg3vI47bhXod9pfz7vZzXH58&#10;7xVp/fw0bV9ABJrCPwx/+qwOOTud3NWWXrQaZkolillO8ZIDI+tFnIA4MZskK5B5Ju+fyH8B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:rsidR="00433ED5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:rsidR="00433ED5" w:rsidRPr="00EE338F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</w:pPr>
                      <w:r w:rsidRPr="00EE338F">
                        <w:rPr>
                          <w:rFonts w:ascii="Arial" w:hAnsi="Arial" w:cs="Arial"/>
                          <w:sz w:val="17"/>
                          <w:szCs w:val="17"/>
                        </w:rPr>
                        <w:t>“2020, Año del Centenario del Natalicio de Román Piña Chan”</w:t>
                      </w:r>
                    </w:p>
                    <w:p w:rsidR="00433ED5" w:rsidRPr="00EE338F" w:rsidRDefault="00433ED5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  <w:r w:rsidRPr="00EE338F">
                        <w:rPr>
                          <w:rFonts w:ascii="Arial" w:hAnsi="Arial" w:cs="Arial"/>
                          <w:sz w:val="16"/>
                          <w:szCs w:val="16"/>
                        </w:rPr>
                        <w:t>“Garantizar una</w:t>
                      </w:r>
                      <w:r w:rsidRPr="00EE338F">
                        <w:rPr>
                          <w:rFonts w:ascii="Arial" w:hAnsi="Arial" w:cs="Arial"/>
                          <w:sz w:val="17"/>
                          <w:szCs w:val="17"/>
                          <w:lang w:val="es-MX"/>
                        </w:rPr>
                        <w:t xml:space="preserve"> justicia efectiva, es proteger el derecho humano de todos”</w:t>
                      </w:r>
                    </w:p>
                    <w:p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:rsidR="00433ED5" w:rsidRDefault="00433ED5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:rsidR="00433ED5" w:rsidRDefault="00433ED5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:rsidR="00433ED5" w:rsidRDefault="00433ED5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:rsidR="00433ED5" w:rsidRDefault="00433ED5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:rsidR="00433ED5" w:rsidRDefault="00433ED5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:rsidR="00433ED5" w:rsidRDefault="00433ED5" w:rsidP="00CF74B4">
    <w:pPr>
      <w:pStyle w:val="Normal1"/>
      <w:rPr>
        <w:rFonts w:ascii="Cambria" w:eastAsia="Cambria" w:hAnsi="Cambria" w:cs="Cambria"/>
      </w:rPr>
    </w:pPr>
  </w:p>
  <w:p w:rsidR="00433ED5" w:rsidRDefault="00433ED5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A12"/>
    <w:multiLevelType w:val="hybridMultilevel"/>
    <w:tmpl w:val="C80E73F8"/>
    <w:lvl w:ilvl="0" w:tplc="080A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7">
    <w:nsid w:val="1DBF4DF0"/>
    <w:multiLevelType w:val="hybridMultilevel"/>
    <w:tmpl w:val="103AD394"/>
    <w:lvl w:ilvl="0" w:tplc="7E04D33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32907035"/>
    <w:multiLevelType w:val="hybridMultilevel"/>
    <w:tmpl w:val="8C5642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392E588B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18">
    <w:nsid w:val="6EEE0043"/>
    <w:multiLevelType w:val="hybridMultilevel"/>
    <w:tmpl w:val="82AEE05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3"/>
  </w:num>
  <w:num w:numId="2">
    <w:abstractNumId w:val="19"/>
  </w:num>
  <w:num w:numId="3">
    <w:abstractNumId w:val="4"/>
  </w:num>
  <w:num w:numId="4">
    <w:abstractNumId w:val="14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8"/>
  </w:num>
  <w:num w:numId="8">
    <w:abstractNumId w:val="16"/>
  </w:num>
  <w:num w:numId="9">
    <w:abstractNumId w:val="9"/>
  </w:num>
  <w:num w:numId="10">
    <w:abstractNumId w:val="6"/>
  </w:num>
  <w:num w:numId="11">
    <w:abstractNumId w:val="21"/>
  </w:num>
  <w:num w:numId="12">
    <w:abstractNumId w:val="0"/>
  </w:num>
  <w:num w:numId="13">
    <w:abstractNumId w:val="7"/>
  </w:num>
  <w:num w:numId="14">
    <w:abstractNumId w:val="5"/>
  </w:num>
  <w:num w:numId="15">
    <w:abstractNumId w:val="10"/>
  </w:num>
  <w:num w:numId="16">
    <w:abstractNumId w:val="1"/>
  </w:num>
  <w:num w:numId="17">
    <w:abstractNumId w:val="15"/>
  </w:num>
  <w:num w:numId="18">
    <w:abstractNumId w:val="12"/>
  </w:num>
  <w:num w:numId="19">
    <w:abstractNumId w:val="2"/>
  </w:num>
  <w:num w:numId="20">
    <w:abstractNumId w:val="11"/>
  </w:num>
  <w:num w:numId="21">
    <w:abstractNumId w:val="3"/>
  </w:num>
  <w:num w:numId="22">
    <w:abstractNumId w:val="22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2"/>
    <w:rsid w:val="000073FA"/>
    <w:rsid w:val="00010453"/>
    <w:rsid w:val="0001681B"/>
    <w:rsid w:val="0003299E"/>
    <w:rsid w:val="000334CB"/>
    <w:rsid w:val="00044CB0"/>
    <w:rsid w:val="000C195E"/>
    <w:rsid w:val="000D2DEE"/>
    <w:rsid w:val="000D3AEA"/>
    <w:rsid w:val="000E4D55"/>
    <w:rsid w:val="000F47E7"/>
    <w:rsid w:val="000F72BF"/>
    <w:rsid w:val="000F72C2"/>
    <w:rsid w:val="00107789"/>
    <w:rsid w:val="00110786"/>
    <w:rsid w:val="00116FAD"/>
    <w:rsid w:val="0013447A"/>
    <w:rsid w:val="0013587F"/>
    <w:rsid w:val="00155550"/>
    <w:rsid w:val="00163674"/>
    <w:rsid w:val="001670D2"/>
    <w:rsid w:val="00182A18"/>
    <w:rsid w:val="001B6C42"/>
    <w:rsid w:val="001C4363"/>
    <w:rsid w:val="00230EE7"/>
    <w:rsid w:val="00234EBC"/>
    <w:rsid w:val="00243812"/>
    <w:rsid w:val="00244204"/>
    <w:rsid w:val="00246E80"/>
    <w:rsid w:val="002651B5"/>
    <w:rsid w:val="00272350"/>
    <w:rsid w:val="002A0EEA"/>
    <w:rsid w:val="002A727C"/>
    <w:rsid w:val="002A735F"/>
    <w:rsid w:val="002B4827"/>
    <w:rsid w:val="002D46B6"/>
    <w:rsid w:val="002D76D1"/>
    <w:rsid w:val="002F2192"/>
    <w:rsid w:val="00313DDC"/>
    <w:rsid w:val="0031426B"/>
    <w:rsid w:val="00314371"/>
    <w:rsid w:val="0031710E"/>
    <w:rsid w:val="00340FF3"/>
    <w:rsid w:val="00342459"/>
    <w:rsid w:val="0034269C"/>
    <w:rsid w:val="0037734E"/>
    <w:rsid w:val="00393693"/>
    <w:rsid w:val="00395B52"/>
    <w:rsid w:val="003B6C58"/>
    <w:rsid w:val="003C55D7"/>
    <w:rsid w:val="003E4C86"/>
    <w:rsid w:val="003E7B29"/>
    <w:rsid w:val="00401541"/>
    <w:rsid w:val="00405C71"/>
    <w:rsid w:val="00405DD1"/>
    <w:rsid w:val="004077F8"/>
    <w:rsid w:val="00413AAD"/>
    <w:rsid w:val="004214A6"/>
    <w:rsid w:val="00424E2F"/>
    <w:rsid w:val="00425C5F"/>
    <w:rsid w:val="00432251"/>
    <w:rsid w:val="00432ED5"/>
    <w:rsid w:val="00433ED5"/>
    <w:rsid w:val="004729DC"/>
    <w:rsid w:val="0049289A"/>
    <w:rsid w:val="004B1F43"/>
    <w:rsid w:val="004D37BB"/>
    <w:rsid w:val="004D659A"/>
    <w:rsid w:val="004E0A5C"/>
    <w:rsid w:val="004F0B57"/>
    <w:rsid w:val="00505ACB"/>
    <w:rsid w:val="00527625"/>
    <w:rsid w:val="00546B6D"/>
    <w:rsid w:val="00572990"/>
    <w:rsid w:val="005851F3"/>
    <w:rsid w:val="0059653C"/>
    <w:rsid w:val="005A1DF8"/>
    <w:rsid w:val="005B28E4"/>
    <w:rsid w:val="005B3C0F"/>
    <w:rsid w:val="005C094D"/>
    <w:rsid w:val="005C15C8"/>
    <w:rsid w:val="005C7224"/>
    <w:rsid w:val="005D3BF7"/>
    <w:rsid w:val="005E1A80"/>
    <w:rsid w:val="005F6D8F"/>
    <w:rsid w:val="0061013A"/>
    <w:rsid w:val="006169EC"/>
    <w:rsid w:val="00621655"/>
    <w:rsid w:val="006238AF"/>
    <w:rsid w:val="00634DB5"/>
    <w:rsid w:val="006354C5"/>
    <w:rsid w:val="00643CD1"/>
    <w:rsid w:val="006552B6"/>
    <w:rsid w:val="00666458"/>
    <w:rsid w:val="006B15E7"/>
    <w:rsid w:val="006B1844"/>
    <w:rsid w:val="006B7A86"/>
    <w:rsid w:val="006D401E"/>
    <w:rsid w:val="006E6C8F"/>
    <w:rsid w:val="007121DA"/>
    <w:rsid w:val="007151D4"/>
    <w:rsid w:val="00737103"/>
    <w:rsid w:val="00745D21"/>
    <w:rsid w:val="007505F3"/>
    <w:rsid w:val="00760567"/>
    <w:rsid w:val="0079448F"/>
    <w:rsid w:val="00794515"/>
    <w:rsid w:val="00797357"/>
    <w:rsid w:val="007B443E"/>
    <w:rsid w:val="007C7AAD"/>
    <w:rsid w:val="007D5ED3"/>
    <w:rsid w:val="007E3695"/>
    <w:rsid w:val="007E38CB"/>
    <w:rsid w:val="007E3BEC"/>
    <w:rsid w:val="007E4F57"/>
    <w:rsid w:val="007F1509"/>
    <w:rsid w:val="007F1ADF"/>
    <w:rsid w:val="007F2543"/>
    <w:rsid w:val="0080102C"/>
    <w:rsid w:val="008110F7"/>
    <w:rsid w:val="00823F81"/>
    <w:rsid w:val="00826B75"/>
    <w:rsid w:val="0083285D"/>
    <w:rsid w:val="008440D7"/>
    <w:rsid w:val="00846E19"/>
    <w:rsid w:val="00853FAC"/>
    <w:rsid w:val="00855E6D"/>
    <w:rsid w:val="0085728A"/>
    <w:rsid w:val="00875449"/>
    <w:rsid w:val="008B136E"/>
    <w:rsid w:val="008B1D0B"/>
    <w:rsid w:val="008B3320"/>
    <w:rsid w:val="008B48D9"/>
    <w:rsid w:val="008B55F1"/>
    <w:rsid w:val="008D7875"/>
    <w:rsid w:val="008E112C"/>
    <w:rsid w:val="008F6273"/>
    <w:rsid w:val="00901279"/>
    <w:rsid w:val="009335DE"/>
    <w:rsid w:val="00947E45"/>
    <w:rsid w:val="00947F69"/>
    <w:rsid w:val="0095214E"/>
    <w:rsid w:val="00962C4C"/>
    <w:rsid w:val="009654B5"/>
    <w:rsid w:val="009707E5"/>
    <w:rsid w:val="00971D6A"/>
    <w:rsid w:val="00982948"/>
    <w:rsid w:val="00985BF5"/>
    <w:rsid w:val="0099178A"/>
    <w:rsid w:val="009A2687"/>
    <w:rsid w:val="009C0E49"/>
    <w:rsid w:val="009E3241"/>
    <w:rsid w:val="009F393F"/>
    <w:rsid w:val="00A0299E"/>
    <w:rsid w:val="00A06B4C"/>
    <w:rsid w:val="00A13394"/>
    <w:rsid w:val="00A15BC4"/>
    <w:rsid w:val="00A247A5"/>
    <w:rsid w:val="00A24DF2"/>
    <w:rsid w:val="00A36CFF"/>
    <w:rsid w:val="00A37500"/>
    <w:rsid w:val="00A436E3"/>
    <w:rsid w:val="00A563DA"/>
    <w:rsid w:val="00A6718D"/>
    <w:rsid w:val="00A7060D"/>
    <w:rsid w:val="00A737D9"/>
    <w:rsid w:val="00A75017"/>
    <w:rsid w:val="00A77662"/>
    <w:rsid w:val="00A96F89"/>
    <w:rsid w:val="00AA7D0D"/>
    <w:rsid w:val="00AD4AA1"/>
    <w:rsid w:val="00AD5D6A"/>
    <w:rsid w:val="00AE7AA0"/>
    <w:rsid w:val="00AF4FA9"/>
    <w:rsid w:val="00AF574A"/>
    <w:rsid w:val="00B06D22"/>
    <w:rsid w:val="00B21700"/>
    <w:rsid w:val="00B23B18"/>
    <w:rsid w:val="00B23FE3"/>
    <w:rsid w:val="00B37A99"/>
    <w:rsid w:val="00B43774"/>
    <w:rsid w:val="00B54A80"/>
    <w:rsid w:val="00B54CC8"/>
    <w:rsid w:val="00B5535B"/>
    <w:rsid w:val="00B6139B"/>
    <w:rsid w:val="00B65F72"/>
    <w:rsid w:val="00B700BD"/>
    <w:rsid w:val="00B7554B"/>
    <w:rsid w:val="00BA31E6"/>
    <w:rsid w:val="00BC471B"/>
    <w:rsid w:val="00BD2260"/>
    <w:rsid w:val="00BD41C4"/>
    <w:rsid w:val="00BE1128"/>
    <w:rsid w:val="00C11A39"/>
    <w:rsid w:val="00C208AB"/>
    <w:rsid w:val="00C220AE"/>
    <w:rsid w:val="00C22EF6"/>
    <w:rsid w:val="00C355A6"/>
    <w:rsid w:val="00C43336"/>
    <w:rsid w:val="00C469A6"/>
    <w:rsid w:val="00C51367"/>
    <w:rsid w:val="00C57361"/>
    <w:rsid w:val="00C635F3"/>
    <w:rsid w:val="00C71833"/>
    <w:rsid w:val="00C80413"/>
    <w:rsid w:val="00CA39C7"/>
    <w:rsid w:val="00CA4908"/>
    <w:rsid w:val="00CA772C"/>
    <w:rsid w:val="00CB54F7"/>
    <w:rsid w:val="00CC2C48"/>
    <w:rsid w:val="00CD6F18"/>
    <w:rsid w:val="00CD74CE"/>
    <w:rsid w:val="00CF74B4"/>
    <w:rsid w:val="00CF7970"/>
    <w:rsid w:val="00D01190"/>
    <w:rsid w:val="00D21332"/>
    <w:rsid w:val="00D24B30"/>
    <w:rsid w:val="00D26FD1"/>
    <w:rsid w:val="00D31785"/>
    <w:rsid w:val="00D346E5"/>
    <w:rsid w:val="00D36711"/>
    <w:rsid w:val="00D468CC"/>
    <w:rsid w:val="00D47AF5"/>
    <w:rsid w:val="00D50812"/>
    <w:rsid w:val="00D60BA8"/>
    <w:rsid w:val="00D614BF"/>
    <w:rsid w:val="00D90C8B"/>
    <w:rsid w:val="00DB10EB"/>
    <w:rsid w:val="00DC54F8"/>
    <w:rsid w:val="00DE47FE"/>
    <w:rsid w:val="00E00ADA"/>
    <w:rsid w:val="00E05A62"/>
    <w:rsid w:val="00E06756"/>
    <w:rsid w:val="00E079B8"/>
    <w:rsid w:val="00E07C81"/>
    <w:rsid w:val="00E07E9F"/>
    <w:rsid w:val="00E14020"/>
    <w:rsid w:val="00E440AE"/>
    <w:rsid w:val="00E46F66"/>
    <w:rsid w:val="00E5484D"/>
    <w:rsid w:val="00E57D3F"/>
    <w:rsid w:val="00E67AEE"/>
    <w:rsid w:val="00E737AA"/>
    <w:rsid w:val="00E914ED"/>
    <w:rsid w:val="00E95A2A"/>
    <w:rsid w:val="00E96C15"/>
    <w:rsid w:val="00EB452D"/>
    <w:rsid w:val="00EC27A9"/>
    <w:rsid w:val="00EC605E"/>
    <w:rsid w:val="00ED74A1"/>
    <w:rsid w:val="00EE207F"/>
    <w:rsid w:val="00EE338F"/>
    <w:rsid w:val="00EE65F8"/>
    <w:rsid w:val="00F137B6"/>
    <w:rsid w:val="00F14B18"/>
    <w:rsid w:val="00F34D97"/>
    <w:rsid w:val="00F45A01"/>
    <w:rsid w:val="00F648E2"/>
    <w:rsid w:val="00F6782F"/>
    <w:rsid w:val="00F72DA6"/>
    <w:rsid w:val="00FC17B4"/>
    <w:rsid w:val="00FC70C9"/>
    <w:rsid w:val="00FE606A"/>
    <w:rsid w:val="00FE6309"/>
    <w:rsid w:val="00FF08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42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3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qFormat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D2DE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7151D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3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2045</Words>
  <Characters>11249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13268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Artemio Montalvo Cambrano</cp:lastModifiedBy>
  <cp:revision>3</cp:revision>
  <cp:lastPrinted>2020-11-09T14:35:00Z</cp:lastPrinted>
  <dcterms:created xsi:type="dcterms:W3CDTF">2020-11-12T02:14:00Z</dcterms:created>
  <dcterms:modified xsi:type="dcterms:W3CDTF">2020-11-12T02:14:00Z</dcterms:modified>
</cp:coreProperties>
</file>